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ACBE" w14:textId="06170F49" w:rsidR="00B51543" w:rsidRPr="00A947A3" w:rsidRDefault="00B51543" w:rsidP="00B5154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#107 </w:t>
      </w:r>
      <w:bookmarkEnd w:id="0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21775" w:rsidRPr="00721775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R4-2307022</w:t>
      </w:r>
    </w:p>
    <w:p w14:paraId="0023D948" w14:textId="77777777" w:rsidR="00B51543" w:rsidRPr="00A947A3" w:rsidRDefault="00B51543" w:rsidP="00B5154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133917470"/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Incheon, Korea, May 22 – 26, 2023</w:t>
      </w:r>
    </w:p>
    <w:bookmarkEnd w:id="1"/>
    <w:bookmarkEnd w:id="2"/>
    <w:bookmarkEnd w:id="4"/>
    <w:p w14:paraId="1766C8C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D30EAEE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8B1A399" w14:textId="48CF1293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3472A">
        <w:rPr>
          <w:rFonts w:ascii="Arial" w:eastAsia="Calibri" w:hAnsi="Arial" w:cs="Arial"/>
          <w:b/>
          <w:bCs/>
          <w:sz w:val="24"/>
        </w:rPr>
        <w:t>Discussion on SAN demodulation</w:t>
      </w:r>
    </w:p>
    <w:p w14:paraId="11DDF715" w14:textId="498C3A54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B51543">
        <w:rPr>
          <w:rFonts w:ascii="Arial" w:eastAsia="MS Mincho" w:hAnsi="Arial" w:cs="Arial"/>
          <w:b/>
          <w:bCs/>
          <w:sz w:val="24"/>
          <w:szCs w:val="20"/>
        </w:rPr>
        <w:t>9.7.7.2</w:t>
      </w:r>
    </w:p>
    <w:p w14:paraId="0B5C9395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9968262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E14DFD7" w14:textId="77777777" w:rsidR="00841BCD" w:rsidRPr="00EF698B" w:rsidRDefault="00841BCD" w:rsidP="00A37002">
      <w:pPr>
        <w:pStyle w:val="RAN4H1"/>
        <w:rPr>
          <w:lang w:val="en-US"/>
        </w:rPr>
      </w:pPr>
      <w:bookmarkStart w:id="5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5"/>
    </w:p>
    <w:p w14:paraId="10FFF1E7" w14:textId="27EAD683" w:rsidR="00E323E9" w:rsidRPr="005B4707" w:rsidRDefault="004D13E0" w:rsidP="005C23A4">
      <w:r>
        <w:t xml:space="preserve">NB-IoT and eMTC operations were identified as two key enablers of connectivity in remote areas. In some of these areas, limited or no-cellular infrastructure might be available. </w:t>
      </w:r>
      <w:r w:rsidR="00B47808">
        <w:t>Because of</w:t>
      </w:r>
      <w:r w:rsidR="001D5A48">
        <w:t xml:space="preserve"> this</w:t>
      </w:r>
      <w:r>
        <w:t xml:space="preserve">, 3GPP has introduced IoT over NTN (Non-terrestrial networks) as potential solution to provide ubiquitous connectivity in such conditions </w:t>
      </w:r>
      <w:r w:rsidR="00860B87">
        <w:fldChar w:fldCharType="begin"/>
      </w:r>
      <w:r w:rsidR="00860B87">
        <w:instrText xml:space="preserve"> REF _Ref126677383 \r \h </w:instrText>
      </w:r>
      <w:r w:rsidR="00860B87">
        <w:fldChar w:fldCharType="separate"/>
      </w:r>
      <w:r w:rsidR="001F3283">
        <w:t>[1]</w:t>
      </w:r>
      <w:r w:rsidR="00860B87">
        <w:fldChar w:fldCharType="end"/>
      </w:r>
      <w:r>
        <w:t>.</w:t>
      </w:r>
      <w:r w:rsidR="005B4707">
        <w:t xml:space="preserve"> Currently, the RAN plenary has approved the work item whose objective is to develop RF and RRM requirements for NB-IoT and eMTC operation over NTN </w:t>
      </w:r>
      <w:r w:rsidR="00860B87">
        <w:fldChar w:fldCharType="begin"/>
      </w:r>
      <w:r w:rsidR="00860B87">
        <w:instrText xml:space="preserve"> REF _Ref126677391 \r \h </w:instrText>
      </w:r>
      <w:r w:rsidR="00860B87">
        <w:fldChar w:fldCharType="separate"/>
      </w:r>
      <w:r w:rsidR="001F3283">
        <w:t>[2]</w:t>
      </w:r>
      <w:r w:rsidR="00860B87">
        <w:fldChar w:fldCharType="end"/>
      </w:r>
      <w:r w:rsidR="00860B87">
        <w:t xml:space="preserve">. </w:t>
      </w:r>
      <w:r w:rsidR="005B4707" w:rsidRPr="005B4707">
        <w:t xml:space="preserve">The WID indicates that the discussions should leverage previous work for NR over NTN and IoT </w:t>
      </w:r>
      <w:proofErr w:type="gramStart"/>
      <w:r w:rsidR="005B4707" w:rsidRPr="005B4707">
        <w:t>as long as</w:t>
      </w:r>
      <w:proofErr w:type="gramEnd"/>
      <w:r w:rsidR="005B4707" w:rsidRPr="005B4707">
        <w:t xml:space="preserve"> applicable. </w:t>
      </w:r>
    </w:p>
    <w:p w14:paraId="76479D13" w14:textId="29D206C4" w:rsidR="005B4707" w:rsidRDefault="005B4707" w:rsidP="005C23A4">
      <w:r w:rsidRPr="005B4707">
        <w:t>The current paper discuss</w:t>
      </w:r>
      <w:r w:rsidR="00081439">
        <w:t>es</w:t>
      </w:r>
      <w:r w:rsidRPr="005B4707">
        <w:t xml:space="preserve"> how some of the demodulation aspects in uplink need to be considered </w:t>
      </w:r>
      <w:r w:rsidR="00F25A97">
        <w:t>for</w:t>
      </w:r>
      <w:r w:rsidR="00F25A97" w:rsidRPr="005B4707">
        <w:t xml:space="preserve"> </w:t>
      </w:r>
      <w:r w:rsidRPr="005B4707">
        <w:t xml:space="preserve">this current WI, as they are specific for NB-IoT over NTN. </w:t>
      </w:r>
    </w:p>
    <w:p w14:paraId="08DF9BC0" w14:textId="3D21AD3B" w:rsidR="00C366E9" w:rsidRDefault="00C366E9" w:rsidP="005C23A4">
      <w:r>
        <w:t xml:space="preserve">Specifically, this paper discusses </w:t>
      </w:r>
      <w:r w:rsidR="00CB518D">
        <w:t>the open issues from</w:t>
      </w:r>
      <w:r>
        <w:t xml:space="preserve"> </w:t>
      </w:r>
      <w:r w:rsidR="004D7DEE">
        <w:t>RAN4</w:t>
      </w:r>
      <w:r w:rsidR="0013027F">
        <w:t xml:space="preserve"> #106</w:t>
      </w:r>
      <w:r w:rsidR="00CB518D">
        <w:t>-bis-e</w:t>
      </w:r>
      <w:r w:rsidR="007777F4">
        <w:t xml:space="preserve"> </w:t>
      </w:r>
      <w:r w:rsidR="007777F4">
        <w:fldChar w:fldCharType="begin"/>
      </w:r>
      <w:r w:rsidR="007777F4">
        <w:instrText xml:space="preserve"> REF _Ref131411816 \r \h </w:instrText>
      </w:r>
      <w:r w:rsidR="007777F4">
        <w:fldChar w:fldCharType="separate"/>
      </w:r>
      <w:r w:rsidR="007777F4">
        <w:t>[3]</w:t>
      </w:r>
      <w:r w:rsidR="007777F4">
        <w:fldChar w:fldCharType="end"/>
      </w:r>
      <w:r w:rsidR="00CB518D">
        <w:t>.</w:t>
      </w:r>
    </w:p>
    <w:p w14:paraId="1F41CE35" w14:textId="77777777" w:rsidR="0060543D" w:rsidRPr="00EF698B" w:rsidRDefault="0060543D" w:rsidP="005C23A4"/>
    <w:p w14:paraId="3A909CE6" w14:textId="77777777" w:rsidR="003B659E" w:rsidRPr="00EF698B" w:rsidRDefault="003B659E" w:rsidP="00AE56B1">
      <w:pPr>
        <w:pStyle w:val="RAN4H1"/>
        <w:rPr>
          <w:lang w:val="en-US"/>
        </w:rPr>
      </w:pPr>
      <w:bookmarkStart w:id="6" w:name="_Toc116995842"/>
      <w:r w:rsidRPr="00EF698B">
        <w:rPr>
          <w:lang w:val="en-US"/>
        </w:rPr>
        <w:t>Discussion</w:t>
      </w:r>
      <w:bookmarkEnd w:id="6"/>
    </w:p>
    <w:p w14:paraId="2D79594A" w14:textId="08071577" w:rsidR="00A35E99" w:rsidRDefault="0084781D" w:rsidP="00A35E99">
      <w:pPr>
        <w:pStyle w:val="RAN4H2"/>
      </w:pPr>
      <w:r>
        <w:t>Open Issue Discussion</w:t>
      </w:r>
    </w:p>
    <w:p w14:paraId="2A32E399" w14:textId="364E598D" w:rsidR="006E6A5F" w:rsidRDefault="00860B87" w:rsidP="00300956">
      <w:r>
        <w:t>The demodulation work in RAN4 for the WID on IoT over NTN (</w:t>
      </w:r>
      <w:r w:rsidRPr="00860B87">
        <w:t>LTE_NBIOT_eMTC_NTN</w:t>
      </w:r>
      <w:r>
        <w:t xml:space="preserve">) </w:t>
      </w:r>
      <w:r w:rsidR="006B333F">
        <w:t>started at</w:t>
      </w:r>
      <w:r>
        <w:t xml:space="preserve"> RAN4 #105, with discussions regarding UE demodulation aspects and some general concepts</w:t>
      </w:r>
      <w:r w:rsidR="006E6A5F">
        <w:t xml:space="preserve"> </w:t>
      </w:r>
      <w:r w:rsidR="006E6A5F">
        <w:fldChar w:fldCharType="begin"/>
      </w:r>
      <w:r w:rsidR="006E6A5F">
        <w:instrText xml:space="preserve"> REF _Ref126677998 \r \h </w:instrText>
      </w:r>
      <w:r w:rsidR="006E6A5F">
        <w:fldChar w:fldCharType="separate"/>
      </w:r>
      <w:r w:rsidR="001F3283">
        <w:t>[4]</w:t>
      </w:r>
      <w:r w:rsidR="006E6A5F">
        <w:fldChar w:fldCharType="end"/>
      </w:r>
      <w:r>
        <w:t xml:space="preserve">. </w:t>
      </w:r>
      <w:r w:rsidR="006E6A5F">
        <w:t xml:space="preserve">The following </w:t>
      </w:r>
      <w:r w:rsidR="00644C07">
        <w:t>open issues</w:t>
      </w:r>
      <w:r w:rsidR="006E6A5F">
        <w:t xml:space="preserve"> </w:t>
      </w:r>
      <w:r w:rsidR="00440B47">
        <w:t>are</w:t>
      </w:r>
      <w:r w:rsidR="006E6A5F">
        <w:t xml:space="preserve"> found on the way forward (WF) </w:t>
      </w:r>
      <w:r w:rsidR="00F10692">
        <w:t>from RAN4</w:t>
      </w:r>
      <w:r w:rsidR="00F33F63">
        <w:t xml:space="preserve"> #10</w:t>
      </w:r>
      <w:r w:rsidR="00B3472A">
        <w:t>6-bis-e</w:t>
      </w:r>
      <w:r w:rsidR="006E6A5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6A5F" w14:paraId="66399701" w14:textId="77777777" w:rsidTr="006E6A5F">
        <w:tc>
          <w:tcPr>
            <w:tcW w:w="9617" w:type="dxa"/>
          </w:tcPr>
          <w:p w14:paraId="108E21A0" w14:textId="77777777" w:rsidR="00D96DB3" w:rsidRDefault="00D96DB3" w:rsidP="00D96DB3">
            <w:pPr>
              <w:keepNext/>
              <w:keepLines/>
              <w:tabs>
                <w:tab w:val="num" w:pos="576"/>
              </w:tabs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sz w:val="24"/>
                <w:szCs w:val="24"/>
              </w:rPr>
            </w:pPr>
            <w:r>
              <w:rPr>
                <w:rFonts w:ascii="Arial" w:eastAsia="SimSun" w:hAnsi="Arial" w:cs="Times New Roman"/>
                <w:sz w:val="24"/>
                <w:szCs w:val="24"/>
              </w:rPr>
              <w:t>Sub-topic 3-1: PUSCH requirements</w:t>
            </w:r>
          </w:p>
          <w:p w14:paraId="37ACC3DA" w14:textId="77777777" w:rsidR="00D96DB3" w:rsidRDefault="00D96DB3" w:rsidP="00D96DB3">
            <w:pPr>
              <w:spacing w:afterLines="50" w:after="120"/>
              <w:rPr>
                <w:rFonts w:eastAsia="SimSun" w:cs="Times New Roman"/>
                <w:b/>
                <w:bCs/>
                <w:szCs w:val="20"/>
                <w:lang w:eastAsia="zh-CN"/>
              </w:rPr>
            </w:pPr>
            <w:r>
              <w:rPr>
                <w:rFonts w:eastAsia="SimSun" w:cs="Times New Roman"/>
                <w:b/>
                <w:bCs/>
                <w:szCs w:val="20"/>
                <w:lang w:eastAsia="zh-CN"/>
              </w:rPr>
              <w:t>Way forward: Updated simulation assumptions for PUSCH CE mode A</w:t>
            </w:r>
            <w:r>
              <w:rPr>
                <w:rFonts w:eastAsia="SimSun" w:cs="Times New Roman"/>
                <w:b/>
                <w:bCs/>
                <w:szCs w:val="20"/>
              </w:rPr>
              <w:t xml:space="preserve"> (for alignment purpose)</w:t>
            </w:r>
          </w:p>
          <w:p w14:paraId="79E25C08" w14:textId="77777777" w:rsidR="00D96DB3" w:rsidRDefault="00D96DB3" w:rsidP="00D96DB3">
            <w:pPr>
              <w:numPr>
                <w:ilvl w:val="1"/>
                <w:numId w:val="36"/>
              </w:numPr>
              <w:spacing w:afterLines="50" w:after="120"/>
              <w:rPr>
                <w:rFonts w:eastAsia="SimSun" w:cs="Times New Roman"/>
                <w:szCs w:val="20"/>
                <w:lang w:eastAsia="zh-CN"/>
              </w:rPr>
            </w:pPr>
            <w:r>
              <w:rPr>
                <w:rFonts w:eastAsia="SimSun" w:cs="Times New Roman"/>
                <w:szCs w:val="20"/>
                <w:lang w:eastAsia="zh-CN"/>
              </w:rPr>
              <w:t>Assume TxDuration is same as the number of repetitions</w:t>
            </w:r>
          </w:p>
          <w:tbl>
            <w:tblPr>
              <w:tblStyle w:val="TableGrid1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3055"/>
              <w:gridCol w:w="5104"/>
            </w:tblGrid>
            <w:tr w:rsidR="00D96DB3" w14:paraId="56F0CF97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F196F0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eastAsiaTheme="minorHAnsi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Parameters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387516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CE Mode A</w:t>
                  </w:r>
                </w:p>
              </w:tc>
            </w:tr>
            <w:tr w:rsidR="00D96DB3" w14:paraId="7936BE1A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58C4C5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Max number of HARQ transmissions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81AF81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4</w:t>
                  </w:r>
                </w:p>
              </w:tc>
            </w:tr>
            <w:tr w:rsidR="00D96DB3" w14:paraId="74A65A1F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27EE45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RV sequences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ECAC9A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0, 2, 3, 1, 0, 2, 3, 1</w:t>
                  </w:r>
                </w:p>
              </w:tc>
            </w:tr>
            <w:tr w:rsidR="00D96DB3" w14:paraId="0B72BA06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DC50B9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Number of PUSCH repetitions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118D9F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8</w:t>
                  </w:r>
                </w:p>
              </w:tc>
            </w:tr>
            <w:tr w:rsidR="00D96DB3" w14:paraId="7223A3F6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572091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Frequency hopping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8930D7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OFF</w:t>
                  </w:r>
                </w:p>
              </w:tc>
            </w:tr>
            <w:tr w:rsidR="00D96DB3" w14:paraId="1A301163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55F7DF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Duplex mode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13083E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FDD only</w:t>
                  </w:r>
                </w:p>
              </w:tc>
            </w:tr>
            <w:tr w:rsidR="00D96DB3" w14:paraId="4C661F00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7B4CB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Number of Tx antennas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7FA191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1</w:t>
                  </w:r>
                </w:p>
              </w:tc>
            </w:tr>
            <w:tr w:rsidR="00D96DB3" w14:paraId="034F17AE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C02F5A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Number of Rx antennas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E535D5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1 and 2</w:t>
                  </w:r>
                </w:p>
              </w:tc>
            </w:tr>
            <w:tr w:rsidR="00D96DB3" w14:paraId="4E2F0BAD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4C25E3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Propagation channel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56275E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>Option 1: NTN-TDLC5-5</w:t>
                  </w:r>
                </w:p>
                <w:p w14:paraId="643130EE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eastAsiaTheme="minorHAnsi" w:hAnsi="Arial"/>
                      <w:sz w:val="18"/>
                      <w:lang w:eastAsia="en-GB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>Option 2: NTN-TDLA100-5</w:t>
                  </w:r>
                </w:p>
              </w:tc>
            </w:tr>
            <w:tr w:rsidR="00D96DB3" w14:paraId="086CE872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DFD74B" w14:textId="77777777" w:rsidR="00D96DB3" w:rsidRDefault="00D96DB3" w:rsidP="00D96DB3">
                  <w:pPr>
                    <w:keepNext/>
                    <w:tabs>
                      <w:tab w:val="center" w:pos="1419"/>
                      <w:tab w:val="right" w:pos="2839"/>
                    </w:tabs>
                    <w:snapToGri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ab/>
                    <w:t>FRC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534439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TS36.104 A3-2</w:t>
                  </w:r>
                </w:p>
              </w:tc>
            </w:tr>
            <w:tr w:rsidR="00D96DB3" w14:paraId="417EF429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1E178F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System BW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7AA0FD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lang w:eastAsia="en-GB"/>
                    </w:rPr>
                    <w:t>1.4MHz only</w:t>
                  </w:r>
                </w:p>
              </w:tc>
            </w:tr>
            <w:tr w:rsidR="00D96DB3" w14:paraId="25AB1E8A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699240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>Fraction of maximum throughput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1C746B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>70%</w:t>
                  </w:r>
                </w:p>
              </w:tc>
            </w:tr>
          </w:tbl>
          <w:p w14:paraId="30BF5CBD" w14:textId="77777777" w:rsidR="00D96DB3" w:rsidRDefault="00D96DB3" w:rsidP="00D96DB3">
            <w:pPr>
              <w:spacing w:afterLines="50" w:after="120"/>
              <w:rPr>
                <w:rFonts w:eastAsia="SimSun" w:cs="Times New Roman"/>
                <w:szCs w:val="20"/>
                <w:lang w:eastAsia="zh-CN"/>
              </w:rPr>
            </w:pPr>
          </w:p>
          <w:p w14:paraId="385598E0" w14:textId="77777777" w:rsidR="00D96DB3" w:rsidRDefault="00D96DB3" w:rsidP="00D96DB3">
            <w:pPr>
              <w:spacing w:afterLines="50" w:after="120"/>
              <w:rPr>
                <w:rFonts w:eastAsia="SimSun" w:cs="Times New Roman"/>
                <w:b/>
                <w:bCs/>
                <w:szCs w:val="20"/>
                <w:lang w:eastAsia="zh-CN"/>
              </w:rPr>
            </w:pPr>
            <w:r>
              <w:rPr>
                <w:rFonts w:eastAsia="SimSun" w:cs="Times New Roman"/>
                <w:b/>
                <w:bCs/>
                <w:szCs w:val="20"/>
                <w:lang w:eastAsia="zh-CN"/>
              </w:rPr>
              <w:t>Way forward: Simulation assumption for PUSCH CE mode B</w:t>
            </w:r>
            <w:r>
              <w:rPr>
                <w:rFonts w:eastAsia="SimSun" w:cs="Times New Roman"/>
                <w:b/>
                <w:bCs/>
                <w:szCs w:val="20"/>
              </w:rPr>
              <w:t xml:space="preserve"> (for alignment purpose)</w:t>
            </w:r>
          </w:p>
          <w:p w14:paraId="46D69786" w14:textId="77777777" w:rsidR="00D96DB3" w:rsidRDefault="00D96DB3" w:rsidP="00D96DB3">
            <w:pPr>
              <w:numPr>
                <w:ilvl w:val="1"/>
                <w:numId w:val="36"/>
              </w:numPr>
              <w:spacing w:afterLines="50" w:after="120"/>
              <w:rPr>
                <w:rFonts w:eastAsia="SimSun" w:cs="Times New Roman"/>
                <w:szCs w:val="20"/>
                <w:lang w:eastAsia="zh-CN"/>
              </w:rPr>
            </w:pPr>
            <w:r>
              <w:rPr>
                <w:rFonts w:eastAsia="SimSun" w:cs="Times New Roman"/>
                <w:szCs w:val="20"/>
                <w:lang w:eastAsia="zh-CN"/>
              </w:rPr>
              <w:t>Assume TxDuration is same as the number of repetitions</w:t>
            </w:r>
          </w:p>
          <w:tbl>
            <w:tblPr>
              <w:tblStyle w:val="TableGrid1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3055"/>
              <w:gridCol w:w="5104"/>
            </w:tblGrid>
            <w:tr w:rsidR="00D96DB3" w14:paraId="7FB5840A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7FDAD4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eastAsiaTheme="minorHAnsi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Parameters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FAC71E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CE Mode B</w:t>
                  </w:r>
                </w:p>
              </w:tc>
            </w:tr>
            <w:tr w:rsidR="00D96DB3" w14:paraId="1A567078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977209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Max number of HARQ transmissions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FEAD97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18"/>
                      <w:lang w:eastAsia="en-GB"/>
                    </w:rPr>
                    <w:t>2</w:t>
                  </w:r>
                </w:p>
              </w:tc>
            </w:tr>
            <w:tr w:rsidR="00D96DB3" w14:paraId="116E3BF1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2573AE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RV sequences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D383A6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18"/>
                      <w:lang w:eastAsia="en-GB"/>
                    </w:rPr>
                    <w:t>0, 0, 0, 0, 2, 2, 2, 2, 3, 3, 3, 3, 1, 1, 1, 1</w:t>
                  </w:r>
                </w:p>
              </w:tc>
            </w:tr>
            <w:tr w:rsidR="00D96DB3" w14:paraId="74148E1E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E5A37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Number of PUSCH repetitions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D7C104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18"/>
                      <w:lang w:eastAsia="en-GB"/>
                    </w:rPr>
                    <w:t>256</w:t>
                  </w:r>
                </w:p>
              </w:tc>
            </w:tr>
            <w:tr w:rsidR="00D96DB3" w14:paraId="3D7D6F0E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9D02AB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Frequency hopping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7C3802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OFF</w:t>
                  </w:r>
                </w:p>
              </w:tc>
            </w:tr>
            <w:tr w:rsidR="00D96DB3" w14:paraId="07502277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A4D1F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Duplex mode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D5A5A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FDD only</w:t>
                  </w:r>
                </w:p>
              </w:tc>
            </w:tr>
            <w:tr w:rsidR="00D96DB3" w14:paraId="6B77D46E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46D4B2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Number of Tx antennas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A839C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1</w:t>
                  </w:r>
                </w:p>
              </w:tc>
            </w:tr>
            <w:tr w:rsidR="00D96DB3" w14:paraId="5ECEC303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1D7B37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Number of Rx antennas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CE58A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1 and 2</w:t>
                  </w:r>
                </w:p>
              </w:tc>
            </w:tr>
            <w:tr w:rsidR="00D96DB3" w14:paraId="1F563C95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1C28CD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Propagation channel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560AB9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18"/>
                      <w:lang w:eastAsia="en-GB"/>
                    </w:rPr>
                    <w:t>Option 1: NTN-TDLA100-5</w:t>
                  </w:r>
                </w:p>
                <w:p w14:paraId="0BE65BA3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>Option 2: NTN-TDLC5-5</w:t>
                  </w:r>
                </w:p>
              </w:tc>
            </w:tr>
            <w:tr w:rsidR="00D96DB3" w14:paraId="1A4754F0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5ED4BA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eastAsiaTheme="minorHAnsi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FRC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13D10B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TS36.104 A3-1</w:t>
                  </w:r>
                </w:p>
              </w:tc>
            </w:tr>
            <w:tr w:rsidR="00D96DB3" w14:paraId="46E39B19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228AB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System BW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2F0BC7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en-GB"/>
                    </w:rPr>
                    <w:t>1.4MHz only</w:t>
                  </w:r>
                </w:p>
              </w:tc>
            </w:tr>
            <w:tr w:rsidR="00D96DB3" w14:paraId="798D17DE" w14:textId="77777777" w:rsidTr="00D96DB3">
              <w:trPr>
                <w:jc w:val="center"/>
              </w:trPr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C1E4B3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>Fraction of maximum throughput</w:t>
                  </w:r>
                </w:p>
              </w:tc>
              <w:tc>
                <w:tcPr>
                  <w:tcW w:w="5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6F7FF8" w14:textId="77777777" w:rsidR="00D96DB3" w:rsidRDefault="00D96DB3" w:rsidP="00D96DB3">
                  <w:pPr>
                    <w:keepNext/>
                    <w:snapToGrid w:val="0"/>
                    <w:spacing w:after="0"/>
                    <w:jc w:val="center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>70%</w:t>
                  </w:r>
                </w:p>
              </w:tc>
            </w:tr>
          </w:tbl>
          <w:p w14:paraId="48085409" w14:textId="77777777" w:rsidR="006E6A5F" w:rsidRDefault="006E6A5F" w:rsidP="00D96DB3">
            <w:pPr>
              <w:spacing w:after="120"/>
            </w:pPr>
          </w:p>
          <w:p w14:paraId="0529B450" w14:textId="77777777" w:rsidR="00D96DB3" w:rsidRDefault="00D96DB3" w:rsidP="00D96DB3">
            <w:pPr>
              <w:keepNext/>
              <w:keepLines/>
              <w:tabs>
                <w:tab w:val="num" w:pos="576"/>
              </w:tabs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sz w:val="24"/>
                <w:szCs w:val="24"/>
              </w:rPr>
            </w:pPr>
            <w:r>
              <w:rPr>
                <w:rFonts w:ascii="Arial" w:eastAsia="SimSun" w:hAnsi="Arial" w:cs="Times New Roman"/>
                <w:sz w:val="24"/>
                <w:szCs w:val="24"/>
              </w:rPr>
              <w:t>Sub-topic 4-1: NPUSCH format 1 requirements</w:t>
            </w:r>
          </w:p>
          <w:p w14:paraId="2BF71836" w14:textId="77777777" w:rsidR="00D96DB3" w:rsidRDefault="00D96DB3" w:rsidP="00D96DB3">
            <w:pPr>
              <w:spacing w:afterLines="50" w:after="120"/>
              <w:rPr>
                <w:rFonts w:eastAsia="SimSun" w:cs="Times New Roman"/>
                <w:b/>
                <w:bCs/>
                <w:szCs w:val="20"/>
                <w:lang w:eastAsia="zh-CN"/>
              </w:rPr>
            </w:pPr>
            <w:r>
              <w:rPr>
                <w:rFonts w:eastAsia="SimSun" w:cs="Times New Roman"/>
                <w:b/>
                <w:bCs/>
                <w:szCs w:val="20"/>
              </w:rPr>
              <w:t>Way forward: Simulation assumptions for NPUSCH format 1 requirements (for alignment purpose)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58"/>
              <w:gridCol w:w="957"/>
              <w:gridCol w:w="1048"/>
              <w:gridCol w:w="1107"/>
              <w:gridCol w:w="2220"/>
              <w:gridCol w:w="997"/>
              <w:gridCol w:w="1027"/>
              <w:gridCol w:w="1077"/>
            </w:tblGrid>
            <w:tr w:rsidR="00D96DB3" w14:paraId="3DC1BFA2" w14:textId="77777777" w:rsidTr="00D96DB3">
              <w:trPr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89D78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Number of TX antennas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6DD3DE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Number of RX antennas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5CC3B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Subcarrier spacing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58D271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Number of allocated subcarriers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8E1F2D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 xml:space="preserve">Propagation conditions 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4EF15D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FRC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E6BD4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Repetition number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B8532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Fraction of maximum throughput</w:t>
                  </w:r>
                </w:p>
              </w:tc>
            </w:tr>
            <w:tr w:rsidR="00D96DB3" w14:paraId="7D5DC454" w14:textId="77777777" w:rsidTr="00D96DB3">
              <w:trPr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E1760E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1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7AC684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1 and 2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E57C0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3.75KHz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191129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B3F78B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</w:rPr>
                    <w:t>Option 1: NTN-TDLA100-1</w:t>
                  </w:r>
                </w:p>
                <w:p w14:paraId="232C700D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</w:rPr>
                    <w:t>Option 2: NTN-TDLC5-1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D37A50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hAnsi="Arial" w:cs="Times New Roman"/>
                      <w:sz w:val="18"/>
                      <w:szCs w:val="20"/>
                      <w:lang w:eastAsia="en-GB"/>
                    </w:rPr>
                    <w:t xml:space="preserve">TS36.104 </w:t>
                  </w: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A16-1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0835DE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trike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trike/>
                      <w:sz w:val="18"/>
                      <w:szCs w:val="20"/>
                      <w:lang w:eastAsia="en-GB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074138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trike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70%</w:t>
                  </w:r>
                </w:p>
              </w:tc>
            </w:tr>
            <w:tr w:rsidR="00D96DB3" w14:paraId="0047A90B" w14:textId="77777777" w:rsidTr="00D96DB3">
              <w:trPr>
                <w:jc w:val="center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41B332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1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842F33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1 and 2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138D8C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15KHz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29FB6B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EFD42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</w:rPr>
                    <w:t>Option 1: NTN-TDLC5-1</w:t>
                  </w:r>
                </w:p>
                <w:p w14:paraId="62668818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</w:rPr>
                    <w:t>Option 2: NTN-TDLA100-1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7FE6A0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hAnsi="Arial" w:cs="Times New Roman"/>
                      <w:sz w:val="18"/>
                      <w:szCs w:val="20"/>
                      <w:lang w:eastAsia="en-GB"/>
                    </w:rPr>
                    <w:t xml:space="preserve">TS36.104 </w:t>
                  </w: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A16-5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F3CCD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8C528C" w14:textId="77777777" w:rsidR="00D96DB3" w:rsidRDefault="00D96DB3" w:rsidP="00D96DB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70%</w:t>
                  </w:r>
                </w:p>
              </w:tc>
            </w:tr>
          </w:tbl>
          <w:p w14:paraId="2D530D7F" w14:textId="3083C712" w:rsidR="00D96DB3" w:rsidRDefault="00DB00EB" w:rsidP="00D96DB3">
            <w:pPr>
              <w:spacing w:after="120"/>
            </w:pPr>
            <w:r>
              <w:t xml:space="preserve"> </w:t>
            </w:r>
          </w:p>
        </w:tc>
      </w:tr>
    </w:tbl>
    <w:p w14:paraId="524C3F4B" w14:textId="77777777" w:rsidR="006E6A5F" w:rsidRDefault="006E6A5F" w:rsidP="00300956"/>
    <w:p w14:paraId="6D559FFA" w14:textId="79CFF62B" w:rsidR="00E81750" w:rsidRPr="0056757D" w:rsidRDefault="00644C07" w:rsidP="0056757D">
      <w:r w:rsidRPr="0056757D">
        <w:t>As agreed at RAN4#106-bis-e</w:t>
      </w:r>
      <w:r w:rsidR="00B4111C" w:rsidRPr="0056757D">
        <w:t xml:space="preserve"> both options for propagation conditions would remain open for NPUSCH and PUSCH requirements, with simulations being presented at RAN4#107 for discussion and ultimate inclusion within the specifications.</w:t>
      </w:r>
    </w:p>
    <w:p w14:paraId="3A23B90C" w14:textId="250AD9E9" w:rsidR="00B4111C" w:rsidRPr="0056757D" w:rsidRDefault="00B4111C" w:rsidP="0056757D">
      <w:r w:rsidRPr="0056757D">
        <w:t>Nokia note that both propagation conditions emulate different deployment options for NTN deployments, with NTN-TDLA100 channels representing a more rural deployment, and NTN-TDLA100 representing a deployment scenario which could be in a</w:t>
      </w:r>
      <w:r w:rsidR="0056757D" w:rsidRPr="0056757D">
        <w:t>n</w:t>
      </w:r>
      <w:r w:rsidRPr="0056757D">
        <w:t xml:space="preserve"> urban setting.</w:t>
      </w:r>
    </w:p>
    <w:p w14:paraId="56FFD369" w14:textId="32348CD0" w:rsidR="00B4111C" w:rsidRPr="0056757D" w:rsidRDefault="00B4111C" w:rsidP="0056757D">
      <w:r w:rsidRPr="0056757D">
        <w:t>Therefore</w:t>
      </w:r>
      <w:r w:rsidR="0056757D">
        <w:t>,</w:t>
      </w:r>
      <w:r w:rsidRPr="0056757D">
        <w:t xml:space="preserve"> Nokia propose that both propagation conditions are presented for requirements in TS 36.108 and TS 36.181.</w:t>
      </w:r>
    </w:p>
    <w:p w14:paraId="477E2DDC" w14:textId="4915C7BE" w:rsidR="00B4111C" w:rsidRDefault="00D7179A" w:rsidP="00B4111C">
      <w:pPr>
        <w:pStyle w:val="RAN4Observation"/>
        <w:rPr>
          <w:lang w:eastAsia="en-GB"/>
        </w:rPr>
      </w:pPr>
      <w:r>
        <w:t xml:space="preserve">For PUSCH and NPUSCH </w:t>
      </w:r>
      <w:r w:rsidR="008D6401">
        <w:t>requirement</w:t>
      </w:r>
      <w:r>
        <w:t xml:space="preserve">, </w:t>
      </w:r>
      <w:r w:rsidR="00B4111C" w:rsidRPr="00B4111C">
        <w:t>NTN-TDLA100 channels representing</w:t>
      </w:r>
      <w:r w:rsidR="00B4111C">
        <w:rPr>
          <w:szCs w:val="18"/>
          <w:lang w:eastAsia="en-GB"/>
        </w:rPr>
        <w:t xml:space="preserve"> a more rural deployment, and </w:t>
      </w:r>
      <w:r w:rsidR="00B4111C">
        <w:rPr>
          <w:lang w:eastAsia="en-GB"/>
        </w:rPr>
        <w:t>NTN-TDL</w:t>
      </w:r>
      <w:r w:rsidR="00F218CB">
        <w:rPr>
          <w:lang w:eastAsia="en-GB"/>
        </w:rPr>
        <w:t>C5</w:t>
      </w:r>
      <w:r w:rsidR="00B4111C">
        <w:rPr>
          <w:lang w:eastAsia="en-GB"/>
        </w:rPr>
        <w:t xml:space="preserve"> represents a deployment scenario which could be in an urban setting.</w:t>
      </w:r>
    </w:p>
    <w:p w14:paraId="625C2D88" w14:textId="56613471" w:rsidR="00B4111C" w:rsidRDefault="00CA0EF9" w:rsidP="00B4111C">
      <w:pPr>
        <w:pStyle w:val="RAN4proposal"/>
      </w:pPr>
      <w:bookmarkStart w:id="7" w:name="_Toc134700108"/>
      <w:r>
        <w:t xml:space="preserve">For </w:t>
      </w:r>
      <w:r w:rsidRPr="00CA0EF9">
        <w:t>PUSCH requirements</w:t>
      </w:r>
      <w:r w:rsidR="00D7179A">
        <w:t>,</w:t>
      </w:r>
      <w:r w:rsidRPr="00CA0EF9">
        <w:t xml:space="preserve"> </w:t>
      </w:r>
      <w:r w:rsidR="00095603">
        <w:t xml:space="preserve">RAN4 shall have requirement for </w:t>
      </w:r>
      <w:r w:rsidR="00B4111C">
        <w:t>both propagation conditions</w:t>
      </w:r>
      <w:r w:rsidR="003B1DEE">
        <w:t xml:space="preserve"> (</w:t>
      </w:r>
      <w:r w:rsidR="003B1DEE" w:rsidRPr="003B1DEE">
        <w:t>NTN-TDLC5-</w:t>
      </w:r>
      <w:r w:rsidR="003B1DEE">
        <w:t xml:space="preserve">5 and </w:t>
      </w:r>
      <w:r w:rsidR="003B1DEE" w:rsidRPr="003B1DEE">
        <w:t>NTN-TDLA100-</w:t>
      </w:r>
      <w:r w:rsidR="003B1DEE">
        <w:t>5)</w:t>
      </w:r>
      <w:r w:rsidR="00D7179A">
        <w:t>,</w:t>
      </w:r>
      <w:r w:rsidR="00B4111C">
        <w:t xml:space="preserve"> </w:t>
      </w:r>
      <w:r w:rsidR="00095603">
        <w:t>which shall</w:t>
      </w:r>
      <w:r w:rsidR="00B4111C">
        <w:t xml:space="preserve"> be included in TS 36.108 and TS</w:t>
      </w:r>
      <w:r>
        <w:t xml:space="preserve"> 36</w:t>
      </w:r>
      <w:r w:rsidR="00B4111C">
        <w:t>.181.</w:t>
      </w:r>
      <w:bookmarkEnd w:id="7"/>
    </w:p>
    <w:p w14:paraId="2032131F" w14:textId="297A3838" w:rsidR="001A7139" w:rsidRDefault="001A7139" w:rsidP="001A7139">
      <w:pPr>
        <w:pStyle w:val="RAN4proposal"/>
      </w:pPr>
      <w:bookmarkStart w:id="8" w:name="_Toc134700109"/>
      <w:r>
        <w:t>For N</w:t>
      </w:r>
      <w:r w:rsidRPr="00CA0EF9">
        <w:t>PUSCH requirements</w:t>
      </w:r>
      <w:r>
        <w:t>,</w:t>
      </w:r>
      <w:r w:rsidRPr="00CA0EF9">
        <w:t xml:space="preserve"> </w:t>
      </w:r>
      <w:r>
        <w:t>RAN4 shall have requirement for both propagation conditions (</w:t>
      </w:r>
      <w:r w:rsidRPr="003B1DEE">
        <w:t>NTN-TDLC5-</w:t>
      </w:r>
      <w:r>
        <w:t xml:space="preserve">1 and </w:t>
      </w:r>
      <w:r w:rsidRPr="003B1DEE">
        <w:t>NTN-TDLA100-</w:t>
      </w:r>
      <w:r>
        <w:t>1), which shall be included in TS 36.108 and TS 36.181.</w:t>
      </w:r>
      <w:bookmarkEnd w:id="8"/>
    </w:p>
    <w:p w14:paraId="0F2034AF" w14:textId="77777777" w:rsidR="0056757D" w:rsidRPr="0056757D" w:rsidRDefault="0056757D" w:rsidP="0056757D"/>
    <w:p w14:paraId="3BBD2DE6" w14:textId="2EBA7404" w:rsidR="0084781D" w:rsidRDefault="0084781D" w:rsidP="0084781D">
      <w:pPr>
        <w:pStyle w:val="RAN4H2"/>
      </w:pPr>
      <w:r>
        <w:t>Radiated requirements for TS 36.181</w:t>
      </w:r>
    </w:p>
    <w:p w14:paraId="5E0B6D2C" w14:textId="2BDA8E27" w:rsidR="00557EC8" w:rsidRDefault="00557EC8" w:rsidP="0084781D">
      <w:r w:rsidRPr="00557EC8">
        <w:t>As part</w:t>
      </w:r>
      <w:r w:rsidR="00D90A0C">
        <w:t xml:space="preserve"> of the Work Split as updated at RAN4#106-bis-e, Nokia have undertaken to write the Radiated requirements for TS 36.181, several queries and discussion matters have been raised through this activity that will require discussion at RAN4#107.</w:t>
      </w:r>
    </w:p>
    <w:p w14:paraId="2568103D" w14:textId="6E0D9E82" w:rsidR="00D90A0C" w:rsidRPr="00557EC8" w:rsidRDefault="001569E9" w:rsidP="00D90A0C">
      <w:pPr>
        <w:pStyle w:val="RAN4H3"/>
      </w:pPr>
      <w:r>
        <w:t xml:space="preserve">PUSCH </w:t>
      </w:r>
      <w:r w:rsidR="00D90A0C">
        <w:t>Applicability Rules</w:t>
      </w:r>
    </w:p>
    <w:p w14:paraId="53A01C19" w14:textId="499243C3" w:rsidR="00557EC8" w:rsidRDefault="001569E9" w:rsidP="0084781D">
      <w:r w:rsidRPr="001569E9">
        <w:t xml:space="preserve">If </w:t>
      </w:r>
      <w:r>
        <w:t xml:space="preserve">TS 38.181 is taken as a basis for Applicability rules for PUSCH within TS 36.181 applicability rules would be focused on differing subcarrier spacings, channel bandwidths and configurations. As </w:t>
      </w:r>
      <w:r w:rsidR="00112836">
        <w:t>subcarrier spacing and channel bandwidth</w:t>
      </w:r>
      <w:r>
        <w:t xml:space="preserve"> are fixed at 15 kHz SCS</w:t>
      </w:r>
      <w:r w:rsidR="00112836">
        <w:t xml:space="preserve"> and </w:t>
      </w:r>
      <w:r>
        <w:t>1.4 MHz</w:t>
      </w:r>
      <w:r w:rsidR="001526ED">
        <w:t xml:space="preserve"> with LTE</w:t>
      </w:r>
      <w:r w:rsidR="00613DFA">
        <w:t xml:space="preserve"> NTN</w:t>
      </w:r>
      <w:r w:rsidR="001526ED">
        <w:t xml:space="preserve"> we believe PUSCH applicability rules </w:t>
      </w:r>
      <w:r w:rsidR="00410227">
        <w:t>may be required for</w:t>
      </w:r>
      <w:r w:rsidR="00112836">
        <w:t xml:space="preserve"> CE</w:t>
      </w:r>
      <w:r w:rsidR="003F0B14">
        <w:t xml:space="preserve"> </w:t>
      </w:r>
      <w:r w:rsidR="00112836">
        <w:t>Mode A and CE</w:t>
      </w:r>
      <w:r w:rsidR="003F0B14">
        <w:t xml:space="preserve"> </w:t>
      </w:r>
      <w:r w:rsidR="00112836">
        <w:t>Mode B</w:t>
      </w:r>
      <w:r w:rsidR="00EE52CA">
        <w:t>.</w:t>
      </w:r>
    </w:p>
    <w:p w14:paraId="6867D49B" w14:textId="30B24FA7" w:rsidR="00276434" w:rsidRDefault="00276434" w:rsidP="00276434">
      <w:pPr>
        <w:pStyle w:val="RAN4observation0"/>
      </w:pPr>
      <w:bookmarkStart w:id="9" w:name="_Toc134700110"/>
      <w:r>
        <w:t>We believe that some PUSCH applicability rules may be needed for TS 36.181, specifically around different configurations</w:t>
      </w:r>
      <w:r w:rsidR="00D01B3A">
        <w:t>.</w:t>
      </w:r>
      <w:bookmarkEnd w:id="9"/>
    </w:p>
    <w:p w14:paraId="0E7055D8" w14:textId="5CD0F021" w:rsidR="003F0B14" w:rsidRDefault="003F0B14" w:rsidP="009B0C28">
      <w:pPr>
        <w:pStyle w:val="RAN4proposal"/>
      </w:pPr>
      <w:bookmarkStart w:id="10" w:name="_Toc134700111"/>
      <w:r>
        <w:t>RAN4</w:t>
      </w:r>
      <w:r w:rsidR="00777C3B">
        <w:t xml:space="preserve"> to </w:t>
      </w:r>
      <w:r w:rsidR="005054FE">
        <w:t>decide</w:t>
      </w:r>
      <w:r>
        <w:t xml:space="preserve"> whether PUSCH format</w:t>
      </w:r>
      <w:r w:rsidR="00F62F16">
        <w:t xml:space="preserve"> (CE A vs. B)</w:t>
      </w:r>
      <w:r>
        <w:t xml:space="preserve"> applicability rules are required for TS 36.181</w:t>
      </w:r>
      <w:r w:rsidR="00D01B3A">
        <w:t>.</w:t>
      </w:r>
      <w:bookmarkEnd w:id="10"/>
    </w:p>
    <w:p w14:paraId="46E9F05B" w14:textId="77777777" w:rsidR="00276434" w:rsidRDefault="00276434" w:rsidP="00276434">
      <w:r>
        <w:t>Should a PUSCH applicability rule be required for CE Mode A and Mode B we propose the below wording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76434" w14:paraId="7EB1C678" w14:textId="77777777" w:rsidTr="0060348B">
        <w:tc>
          <w:tcPr>
            <w:tcW w:w="9617" w:type="dxa"/>
          </w:tcPr>
          <w:p w14:paraId="17B6BC8F" w14:textId="77777777" w:rsidR="00276434" w:rsidRDefault="00276434" w:rsidP="0060348B">
            <w:pPr>
              <w:pStyle w:val="Heading5"/>
            </w:pPr>
            <w:bookmarkStart w:id="11" w:name="_Toc21102921"/>
            <w:bookmarkStart w:id="12" w:name="_Toc29810770"/>
            <w:bookmarkStart w:id="13" w:name="_Toc36636122"/>
            <w:bookmarkStart w:id="14" w:name="_Toc37273068"/>
            <w:bookmarkStart w:id="15" w:name="_Toc45886148"/>
            <w:bookmarkStart w:id="16" w:name="_Toc53183224"/>
            <w:bookmarkStart w:id="17" w:name="_Toc58915891"/>
            <w:bookmarkStart w:id="18" w:name="_Toc58918072"/>
            <w:bookmarkStart w:id="19" w:name="_Toc66693941"/>
            <w:bookmarkStart w:id="20" w:name="_Toc74915893"/>
            <w:bookmarkStart w:id="21" w:name="_Toc76114518"/>
            <w:bookmarkStart w:id="22" w:name="_Toc76544404"/>
            <w:bookmarkStart w:id="23" w:name="_Toc82536526"/>
            <w:bookmarkStart w:id="24" w:name="_Toc89952819"/>
            <w:bookmarkStart w:id="25" w:name="_Toc98766635"/>
            <w:bookmarkStart w:id="26" w:name="_Toc99702998"/>
            <w:bookmarkStart w:id="27" w:name="_Toc106206784"/>
            <w:bookmarkStart w:id="28" w:name="_Toc115080786"/>
            <w:bookmarkStart w:id="29" w:name="_Toc121999666"/>
            <w:bookmarkStart w:id="30" w:name="_Toc124154565"/>
            <w:bookmarkStart w:id="31" w:name="_Toc129110317"/>
            <w:bookmarkStart w:id="32" w:name="_Toc130389437"/>
            <w:bookmarkStart w:id="33" w:name="_Toc130390510"/>
            <w:bookmarkStart w:id="34" w:name="_Toc130391198"/>
            <w:bookmarkStart w:id="35" w:name="_Toc131624962"/>
            <w:r>
              <w:t>11.1.3.2.3</w:t>
            </w:r>
            <w:r>
              <w:tab/>
              <w:t>Applicability of requirements for different configurations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  <w:p w14:paraId="586C8A32" w14:textId="77777777" w:rsidR="00276434" w:rsidRDefault="00276434" w:rsidP="0060348B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Unless otherwise stated,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</w:rPr>
              <w:t xml:space="preserve">PUSCH requirement tests shall apply only for </w:t>
            </w:r>
            <w:r>
              <w:rPr>
                <w:rFonts w:eastAsia="DengXian"/>
                <w:lang w:eastAsia="zh-CN"/>
              </w:rPr>
              <w:t xml:space="preserve">the mapping type </w:t>
            </w:r>
            <w:r>
              <w:rPr>
                <w:rFonts w:eastAsia="DengXian"/>
              </w:rPr>
              <w:t>declared to be supported</w:t>
            </w:r>
            <w:r>
              <w:rPr>
                <w:rFonts w:eastAsia="DengXian"/>
                <w:lang w:eastAsia="zh-CN"/>
              </w:rPr>
              <w:t xml:space="preserve"> (see [D.100] in table [4.6-1])</w:t>
            </w:r>
            <w:r>
              <w:rPr>
                <w:rFonts w:eastAsia="DengXian"/>
              </w:rPr>
              <w:t xml:space="preserve">. If both mapping type A and type B are declared to be supported, </w:t>
            </w:r>
            <w:r>
              <w:rPr>
                <w:rFonts w:eastAsia="DengXian"/>
                <w:lang w:eastAsia="zh-CN"/>
              </w:rPr>
              <w:t xml:space="preserve">the </w:t>
            </w:r>
            <w:r>
              <w:rPr>
                <w:rFonts w:eastAsia="DengXian"/>
              </w:rPr>
              <w:t xml:space="preserve">tests shall be done for </w:t>
            </w:r>
            <w:r>
              <w:rPr>
                <w:rFonts w:eastAsia="DengXian"/>
                <w:lang w:eastAsia="zh-CN"/>
              </w:rPr>
              <w:t>either type A or type B</w:t>
            </w:r>
            <w:r>
              <w:rPr>
                <w:rFonts w:eastAsia="DengXian"/>
              </w:rPr>
              <w:t>; the same chosen mapping type shall then be used for all tests.</w:t>
            </w:r>
          </w:p>
          <w:p w14:paraId="56FE8E9B" w14:textId="77777777" w:rsidR="00276434" w:rsidRDefault="00276434" w:rsidP="0060348B">
            <w:pPr>
              <w:rPr>
                <w:lang w:val="en-GB"/>
              </w:rPr>
            </w:pPr>
          </w:p>
        </w:tc>
      </w:tr>
    </w:tbl>
    <w:p w14:paraId="7EB204D5" w14:textId="77777777" w:rsidR="003F0B14" w:rsidRPr="003F0B14" w:rsidRDefault="003F0B14" w:rsidP="003F0B14">
      <w:pPr>
        <w:rPr>
          <w:lang w:val="en-GB"/>
        </w:rPr>
      </w:pPr>
    </w:p>
    <w:p w14:paraId="65BF90A3" w14:textId="4C55AC7C" w:rsidR="00300503" w:rsidRPr="00401393" w:rsidRDefault="00D20DE6" w:rsidP="003F0B14">
      <w:pPr>
        <w:pStyle w:val="RAN4proposal"/>
      </w:pPr>
      <w:bookmarkStart w:id="36" w:name="_Toc134700112"/>
      <w:r>
        <w:t xml:space="preserve">If </w:t>
      </w:r>
      <w:r w:rsidR="00D3672C">
        <w:t>PUSCH format applicability rule</w:t>
      </w:r>
      <w:r w:rsidR="00334423">
        <w:t xml:space="preserve"> inclusion is agreed, </w:t>
      </w:r>
      <w:r w:rsidR="001B181C">
        <w:t xml:space="preserve">follow NR </w:t>
      </w:r>
      <w:proofErr w:type="gramStart"/>
      <w:r w:rsidR="001B181C">
        <w:t>NTN</w:t>
      </w:r>
      <w:proofErr w:type="gramEnd"/>
      <w:r w:rsidR="001B181C">
        <w:t xml:space="preserve"> and</w:t>
      </w:r>
      <w:r w:rsidR="00334423">
        <w:t xml:space="preserve"> use </w:t>
      </w:r>
      <w:r w:rsidR="006467CC">
        <w:t>the following wording</w:t>
      </w:r>
      <w:r w:rsidR="00401393">
        <w:t xml:space="preserve"> in </w:t>
      </w:r>
      <w:r w:rsidR="00602904">
        <w:t>a new “</w:t>
      </w:r>
      <w:r w:rsidR="00AA09E5" w:rsidRPr="00AA09E5">
        <w:t>Applicability of requirements for different configurations</w:t>
      </w:r>
      <w:r w:rsidR="00602904">
        <w:t>” section</w:t>
      </w:r>
      <w:r w:rsidR="006467CC">
        <w:t xml:space="preserve">: </w:t>
      </w:r>
      <w:r w:rsidR="006467CC">
        <w:br/>
        <w:t>“</w:t>
      </w:r>
      <w:r w:rsidR="006467CC" w:rsidRPr="006467CC">
        <w:t>Unless otherwise stated, PUSCH requirement tests shall apply only for the mapping type declared to be supported (see [D.100] in table [4.6-1]). If both mapping type A and type B are declared to be supported, the tests shall be done for either type A or type B; the same chosen mapping type shall then be used for all tests.</w:t>
      </w:r>
      <w:r w:rsidR="006467CC">
        <w:t>”</w:t>
      </w:r>
      <w:r w:rsidR="00300503">
        <w:t>.</w:t>
      </w:r>
      <w:bookmarkEnd w:id="36"/>
    </w:p>
    <w:p w14:paraId="46876473" w14:textId="42FFE5B0" w:rsidR="00300503" w:rsidRPr="003F0B14" w:rsidRDefault="00300503" w:rsidP="003F0B14">
      <w:pPr>
        <w:rPr>
          <w:lang w:val="en-GB"/>
        </w:rPr>
      </w:pPr>
    </w:p>
    <w:p w14:paraId="7B1E2788" w14:textId="443F3D02" w:rsidR="0046736B" w:rsidRDefault="0046736B" w:rsidP="0046736B">
      <w:pPr>
        <w:pStyle w:val="RAN4H3"/>
        <w:rPr>
          <w:lang w:val="en-GB"/>
        </w:rPr>
      </w:pPr>
      <w:r>
        <w:rPr>
          <w:lang w:val="en-GB"/>
        </w:rPr>
        <w:t>PUCCH Applicability Rules</w:t>
      </w:r>
    </w:p>
    <w:p w14:paraId="36B4C837" w14:textId="72F9A65F" w:rsidR="0046736B" w:rsidRDefault="0046736B" w:rsidP="0046736B">
      <w:pPr>
        <w:rPr>
          <w:lang w:val="en-GB"/>
        </w:rPr>
      </w:pPr>
      <w:r w:rsidRPr="0046736B">
        <w:rPr>
          <w:lang w:val="en-GB"/>
        </w:rPr>
        <w:t>If TS 38.181 is taken as a basis for Applicability rules for PU</w:t>
      </w:r>
      <w:r>
        <w:rPr>
          <w:lang w:val="en-GB"/>
        </w:rPr>
        <w:t>CCH</w:t>
      </w:r>
      <w:r w:rsidRPr="0046736B">
        <w:rPr>
          <w:lang w:val="en-GB"/>
        </w:rPr>
        <w:t xml:space="preserve"> within TS 36.181 applicability rules would be focused on differing </w:t>
      </w:r>
      <w:r>
        <w:rPr>
          <w:lang w:val="en-GB"/>
        </w:rPr>
        <w:t xml:space="preserve">formats, </w:t>
      </w:r>
      <w:r w:rsidRPr="0046736B">
        <w:rPr>
          <w:lang w:val="en-GB"/>
        </w:rPr>
        <w:t>subcarrier spacings, channel bandwidths</w:t>
      </w:r>
      <w:r>
        <w:rPr>
          <w:lang w:val="en-GB"/>
        </w:rPr>
        <w:t>,</w:t>
      </w:r>
      <w:r w:rsidRPr="0046736B">
        <w:rPr>
          <w:lang w:val="en-GB"/>
        </w:rPr>
        <w:t xml:space="preserve"> </w:t>
      </w:r>
      <w:r w:rsidR="003F0B14" w:rsidRPr="0046736B">
        <w:rPr>
          <w:lang w:val="en-GB"/>
        </w:rPr>
        <w:t>configuration,</w:t>
      </w:r>
      <w:r>
        <w:rPr>
          <w:lang w:val="en-GB"/>
        </w:rPr>
        <w:t xml:space="preserve"> and multi-slot</w:t>
      </w:r>
      <w:r w:rsidRPr="0046736B">
        <w:rPr>
          <w:lang w:val="en-GB"/>
        </w:rPr>
        <w:t>. As these are fixed at</w:t>
      </w:r>
      <w:r w:rsidR="003640F8">
        <w:rPr>
          <w:lang w:val="en-GB"/>
        </w:rPr>
        <w:t xml:space="preserve"> PUCCH Format 1a,</w:t>
      </w:r>
      <w:r w:rsidR="005E709A">
        <w:rPr>
          <w:lang w:val="en-GB"/>
        </w:rPr>
        <w:t xml:space="preserve"> </w:t>
      </w:r>
      <w:r w:rsidRPr="0046736B">
        <w:rPr>
          <w:lang w:val="en-GB"/>
        </w:rPr>
        <w:t>15 kHz SCS, 1.4 MHz for PU</w:t>
      </w:r>
      <w:r w:rsidR="003640F8">
        <w:rPr>
          <w:lang w:val="en-GB"/>
        </w:rPr>
        <w:t>CCH</w:t>
      </w:r>
      <w:r w:rsidRPr="0046736B">
        <w:rPr>
          <w:lang w:val="en-GB"/>
        </w:rPr>
        <w:t xml:space="preserve"> with LTE</w:t>
      </w:r>
      <w:r w:rsidR="003640F8">
        <w:rPr>
          <w:lang w:val="en-GB"/>
        </w:rPr>
        <w:t xml:space="preserve"> NTN</w:t>
      </w:r>
      <w:r w:rsidRPr="0046736B">
        <w:rPr>
          <w:lang w:val="en-GB"/>
        </w:rPr>
        <w:t xml:space="preserve"> </w:t>
      </w:r>
      <w:r w:rsidR="00410227">
        <w:t xml:space="preserve">with LTE NTN we believe PUSCH applicability rules may be required for </w:t>
      </w:r>
      <w:r w:rsidR="00410227">
        <w:rPr>
          <w:lang w:val="en-GB"/>
        </w:rPr>
        <w:t>multi-slot.</w:t>
      </w:r>
    </w:p>
    <w:p w14:paraId="4FE2B3D7" w14:textId="215C151D" w:rsidR="00E622EB" w:rsidRDefault="00E622EB" w:rsidP="00E622EB">
      <w:pPr>
        <w:pStyle w:val="RAN4observation0"/>
      </w:pPr>
      <w:bookmarkStart w:id="37" w:name="_Toc134700113"/>
      <w:r>
        <w:t xml:space="preserve">We believe that </w:t>
      </w:r>
      <w:r w:rsidR="00276434">
        <w:t xml:space="preserve">some </w:t>
      </w:r>
      <w:r>
        <w:t>PUCCH applicability rules are needed for TS 36.181</w:t>
      </w:r>
      <w:r w:rsidR="00276434">
        <w:t>, specifically around multi-slot</w:t>
      </w:r>
      <w:bookmarkEnd w:id="37"/>
    </w:p>
    <w:p w14:paraId="3DD85F76" w14:textId="59BA2487" w:rsidR="00276434" w:rsidRDefault="00056380" w:rsidP="00276434">
      <w:pPr>
        <w:pStyle w:val="RAN4proposal"/>
      </w:pPr>
      <w:bookmarkStart w:id="38" w:name="_Toc134700114"/>
      <w:r>
        <w:t xml:space="preserve">RAN4 to decide whether </w:t>
      </w:r>
      <w:r w:rsidR="00276434">
        <w:t>PUCCH multi-slot applicability rules are required for TS 36.181</w:t>
      </w:r>
      <w:bookmarkEnd w:id="38"/>
    </w:p>
    <w:p w14:paraId="3B8C730A" w14:textId="2DBA6906" w:rsidR="00276434" w:rsidRDefault="00276434" w:rsidP="00276434">
      <w:r>
        <w:t xml:space="preserve">Should a </w:t>
      </w:r>
      <w:r w:rsidRPr="00276434">
        <w:t>P</w:t>
      </w:r>
      <w:r>
        <w:t>UCCH applicability rule be required for mul</w:t>
      </w:r>
      <w:r w:rsidR="006D707A">
        <w:t>t</w:t>
      </w:r>
      <w:r>
        <w:t>i-slot we propose the below wording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76434" w14:paraId="01F1EE14" w14:textId="77777777" w:rsidTr="0060348B">
        <w:tc>
          <w:tcPr>
            <w:tcW w:w="9617" w:type="dxa"/>
          </w:tcPr>
          <w:p w14:paraId="46EA19EB" w14:textId="77777777" w:rsidR="008F21AD" w:rsidRDefault="008F21AD" w:rsidP="008F21AD">
            <w:pPr>
              <w:pStyle w:val="Heading5"/>
            </w:pPr>
            <w:bookmarkStart w:id="39" w:name="_Toc21102927"/>
            <w:bookmarkStart w:id="40" w:name="_Toc29810776"/>
            <w:bookmarkStart w:id="41" w:name="_Toc36636128"/>
            <w:bookmarkStart w:id="42" w:name="_Toc37273074"/>
            <w:bookmarkStart w:id="43" w:name="_Toc45886154"/>
            <w:bookmarkStart w:id="44" w:name="_Toc53183232"/>
            <w:bookmarkStart w:id="45" w:name="_Toc58915899"/>
            <w:bookmarkStart w:id="46" w:name="_Toc58918080"/>
            <w:bookmarkStart w:id="47" w:name="_Toc66693950"/>
            <w:bookmarkStart w:id="48" w:name="_Toc74915902"/>
            <w:bookmarkStart w:id="49" w:name="_Toc76114527"/>
            <w:bookmarkStart w:id="50" w:name="_Toc76544413"/>
            <w:bookmarkStart w:id="51" w:name="_Toc82536535"/>
            <w:bookmarkStart w:id="52" w:name="_Toc89952828"/>
            <w:bookmarkStart w:id="53" w:name="_Toc98766644"/>
            <w:bookmarkStart w:id="54" w:name="_Toc99703007"/>
            <w:bookmarkStart w:id="55" w:name="_Toc106206793"/>
            <w:bookmarkStart w:id="56" w:name="_Toc115080795"/>
            <w:bookmarkStart w:id="57" w:name="_Toc121999676"/>
            <w:bookmarkStart w:id="58" w:name="_Toc124154575"/>
            <w:bookmarkStart w:id="59" w:name="_Toc129110323"/>
            <w:bookmarkStart w:id="60" w:name="_Toc130389443"/>
            <w:bookmarkStart w:id="61" w:name="_Toc130390516"/>
            <w:bookmarkStart w:id="62" w:name="_Toc130391204"/>
            <w:bookmarkStart w:id="63" w:name="_Toc131624968"/>
            <w:r>
              <w:t>11.1.3.3.5</w:t>
            </w:r>
            <w:r>
              <w:tab/>
              <w:t>Applicability of requirements for multi-slot PUCCH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</w:p>
          <w:p w14:paraId="1DF12D8E" w14:textId="06281FB2" w:rsidR="008F21AD" w:rsidRDefault="008F21AD" w:rsidP="008F21AD">
            <w:pPr>
              <w:rPr>
                <w:rFonts w:eastAsia="DengXian"/>
              </w:rPr>
            </w:pPr>
            <w:r>
              <w:rPr>
                <w:rFonts w:eastAsia="DengXian"/>
              </w:rPr>
              <w:t xml:space="preserve">Unless otherwise stated, </w:t>
            </w:r>
            <w:r>
              <w:rPr>
                <w:rFonts w:eastAsia="DengXian"/>
                <w:lang w:eastAsia="zh-CN"/>
              </w:rPr>
              <w:t xml:space="preserve">multi-slot </w:t>
            </w:r>
            <w:r>
              <w:rPr>
                <w:rFonts w:eastAsia="DengXian"/>
              </w:rPr>
              <w:t xml:space="preserve">PUCCH requirement tests shall apply only </w:t>
            </w:r>
            <w:r>
              <w:rPr>
                <w:rFonts w:eastAsia="DengXian"/>
                <w:lang w:eastAsia="zh-CN"/>
              </w:rPr>
              <w:t>if the SAN supports it (see [D.105] in table [4.6-1])</w:t>
            </w:r>
            <w:r>
              <w:rPr>
                <w:rFonts w:eastAsia="DengXian"/>
              </w:rPr>
              <w:t>.</w:t>
            </w:r>
          </w:p>
          <w:p w14:paraId="3204EC81" w14:textId="77777777" w:rsidR="00276434" w:rsidRDefault="00276434" w:rsidP="0060348B">
            <w:pPr>
              <w:rPr>
                <w:lang w:val="en-GB"/>
              </w:rPr>
            </w:pPr>
          </w:p>
        </w:tc>
      </w:tr>
    </w:tbl>
    <w:p w14:paraId="7A7F37A6" w14:textId="77777777" w:rsidR="00C0539F" w:rsidRDefault="00C0539F" w:rsidP="00C0539F">
      <w:pPr>
        <w:rPr>
          <w:lang w:val="en-GB"/>
        </w:rPr>
      </w:pPr>
    </w:p>
    <w:p w14:paraId="2686E796" w14:textId="0E2BB970" w:rsidR="00294059" w:rsidRPr="00294059" w:rsidRDefault="00294059" w:rsidP="00C0539F">
      <w:pPr>
        <w:pStyle w:val="RAN4proposal"/>
        <w:rPr>
          <w:rFonts w:eastAsia="DengXian"/>
        </w:rPr>
      </w:pPr>
      <w:bookmarkStart w:id="64" w:name="_Toc134700115"/>
      <w:r>
        <w:t xml:space="preserve">If PUCCH multi-slot applicability rule inclusion is agreed, follow NR </w:t>
      </w:r>
      <w:proofErr w:type="gramStart"/>
      <w:r>
        <w:t>NTN</w:t>
      </w:r>
      <w:proofErr w:type="gramEnd"/>
      <w:r>
        <w:t xml:space="preserve"> and use the following wording in a new “Applicability of requirements for multi-slot PUCCH” section: </w:t>
      </w:r>
      <w:r>
        <w:br/>
        <w:t>“</w:t>
      </w:r>
      <w:r>
        <w:rPr>
          <w:rFonts w:eastAsia="DengXian"/>
        </w:rPr>
        <w:t xml:space="preserve">Unless otherwise stated, </w:t>
      </w:r>
      <w:r>
        <w:rPr>
          <w:rFonts w:eastAsia="DengXian"/>
          <w:lang w:eastAsia="zh-CN"/>
        </w:rPr>
        <w:t xml:space="preserve">multi-slot </w:t>
      </w:r>
      <w:r>
        <w:rPr>
          <w:rFonts w:eastAsia="DengXian"/>
        </w:rPr>
        <w:t xml:space="preserve">PUCCH requirement tests shall apply only </w:t>
      </w:r>
      <w:r>
        <w:rPr>
          <w:rFonts w:eastAsia="DengXian"/>
          <w:lang w:eastAsia="zh-CN"/>
        </w:rPr>
        <w:t>if the SAN supports it (see [D.105] in table [4.6-1])</w:t>
      </w:r>
      <w:r w:rsidR="000A63D7">
        <w:rPr>
          <w:rFonts w:eastAsia="DengXian"/>
          <w:lang w:eastAsia="zh-CN"/>
        </w:rPr>
        <w:t>”</w:t>
      </w:r>
      <w:r>
        <w:rPr>
          <w:rFonts w:eastAsia="DengXian"/>
        </w:rPr>
        <w:t>.</w:t>
      </w:r>
      <w:bookmarkEnd w:id="64"/>
    </w:p>
    <w:p w14:paraId="1FB2F073" w14:textId="4E980B80" w:rsidR="00613DFA" w:rsidRPr="00557EC8" w:rsidRDefault="00613DFA" w:rsidP="00613DFA">
      <w:pPr>
        <w:pStyle w:val="RAN4H3"/>
      </w:pPr>
      <w:r>
        <w:t>PRACH Applicability Rules</w:t>
      </w:r>
    </w:p>
    <w:p w14:paraId="2EBF2972" w14:textId="3F3D3752" w:rsidR="00613DFA" w:rsidRDefault="00613DFA" w:rsidP="00613DFA">
      <w:r w:rsidRPr="001569E9">
        <w:t xml:space="preserve">If </w:t>
      </w:r>
      <w:r>
        <w:t xml:space="preserve">TS 38.181 is taken as a basis for Applicability rules for PRACH within TS 36.181 applicability rules would be focused on differing configurations, subcarrier spacings, and channel bandwidths. As </w:t>
      </w:r>
      <w:r w:rsidR="008D5EE7">
        <w:t>subcarrier spacing and channel bandwidth is</w:t>
      </w:r>
      <w:r>
        <w:t xml:space="preserve"> fixed at 1.4 MHz and 15 kHz SCS for PRACH </w:t>
      </w:r>
      <w:r w:rsidR="00410227">
        <w:t xml:space="preserve">with LTE NTN we believe PUSCH applicability rules may be required for </w:t>
      </w:r>
      <w:r w:rsidR="008D5EE7">
        <w:t>different formats</w:t>
      </w:r>
      <w:r w:rsidR="00410227">
        <w:t>.</w:t>
      </w:r>
    </w:p>
    <w:p w14:paraId="0ACB18D9" w14:textId="5F424D2E" w:rsidR="00276434" w:rsidRDefault="00276434" w:rsidP="00276434">
      <w:pPr>
        <w:pStyle w:val="RAN4observation0"/>
      </w:pPr>
      <w:bookmarkStart w:id="65" w:name="_Toc134700116"/>
      <w:r>
        <w:t>We believe that some PRACH applicability rules may be needed for TS 36.181, specifically around different formats</w:t>
      </w:r>
      <w:bookmarkEnd w:id="65"/>
    </w:p>
    <w:p w14:paraId="5CB10AA9" w14:textId="02E63DFA" w:rsidR="008D5EE7" w:rsidRDefault="000A63D7" w:rsidP="008D5EE7">
      <w:pPr>
        <w:pStyle w:val="RAN4proposal"/>
        <w:rPr>
          <w:lang w:val="en-GB"/>
        </w:rPr>
      </w:pPr>
      <w:bookmarkStart w:id="66" w:name="_Toc134700117"/>
      <w:r>
        <w:t xml:space="preserve">RAN4 to decide whether </w:t>
      </w:r>
      <w:r w:rsidR="008D5EE7">
        <w:rPr>
          <w:lang w:val="en-GB"/>
        </w:rPr>
        <w:t>PRACH format applicability rules are required for TS 36.181</w:t>
      </w:r>
      <w:bookmarkEnd w:id="66"/>
    </w:p>
    <w:p w14:paraId="05609D6C" w14:textId="0812C771" w:rsidR="008D5EE7" w:rsidRDefault="008D5EE7" w:rsidP="008D5EE7">
      <w:pPr>
        <w:rPr>
          <w:lang w:val="en-GB"/>
        </w:rPr>
      </w:pPr>
      <w:r>
        <w:rPr>
          <w:lang w:val="en-GB"/>
        </w:rPr>
        <w:t xml:space="preserve">Should </w:t>
      </w:r>
      <w:r w:rsidR="00C0539F">
        <w:rPr>
          <w:lang w:val="en-GB"/>
        </w:rPr>
        <w:t xml:space="preserve">a </w:t>
      </w:r>
      <w:r>
        <w:rPr>
          <w:lang w:val="en-GB"/>
        </w:rPr>
        <w:t>PRACH applicability rule be required for different formats we propose the below wording.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D5EE7" w14:paraId="5574A6E4" w14:textId="77777777" w:rsidTr="008D5EE7">
        <w:tc>
          <w:tcPr>
            <w:tcW w:w="9617" w:type="dxa"/>
          </w:tcPr>
          <w:p w14:paraId="59CF601E" w14:textId="77777777" w:rsidR="004309E0" w:rsidRDefault="004309E0" w:rsidP="004309E0">
            <w:pPr>
              <w:pStyle w:val="Heading5"/>
            </w:pPr>
            <w:bookmarkStart w:id="67" w:name="_Toc21102929"/>
            <w:bookmarkStart w:id="68" w:name="_Toc29810778"/>
            <w:bookmarkStart w:id="69" w:name="_Toc36636130"/>
            <w:bookmarkStart w:id="70" w:name="_Toc37273076"/>
            <w:bookmarkStart w:id="71" w:name="_Toc45886156"/>
            <w:bookmarkStart w:id="72" w:name="_Toc53183234"/>
            <w:bookmarkStart w:id="73" w:name="_Toc58915901"/>
            <w:bookmarkStart w:id="74" w:name="_Toc58918082"/>
            <w:bookmarkStart w:id="75" w:name="_Toc66693952"/>
            <w:bookmarkStart w:id="76" w:name="_Toc74915904"/>
            <w:bookmarkStart w:id="77" w:name="_Toc76114529"/>
            <w:bookmarkStart w:id="78" w:name="_Toc76544415"/>
            <w:bookmarkStart w:id="79" w:name="_Toc82536537"/>
            <w:bookmarkStart w:id="80" w:name="_Toc89952830"/>
            <w:bookmarkStart w:id="81" w:name="_Toc98766646"/>
            <w:bookmarkStart w:id="82" w:name="_Toc99703009"/>
            <w:bookmarkStart w:id="83" w:name="_Toc106206795"/>
            <w:bookmarkStart w:id="84" w:name="_Toc115080797"/>
            <w:bookmarkStart w:id="85" w:name="_Toc121999679"/>
            <w:bookmarkStart w:id="86" w:name="_Toc124154578"/>
            <w:bookmarkStart w:id="87" w:name="_Toc129110325"/>
            <w:bookmarkStart w:id="88" w:name="_Toc130389445"/>
            <w:bookmarkStart w:id="89" w:name="_Toc130390518"/>
            <w:bookmarkStart w:id="90" w:name="_Toc130391206"/>
            <w:bookmarkStart w:id="91" w:name="_Toc131624970"/>
            <w:r>
              <w:t>11.1.3.4.1</w:t>
            </w:r>
            <w:r>
              <w:tab/>
              <w:t>Applicability of requirements for different formats</w:t>
            </w:r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</w:p>
          <w:p w14:paraId="03A7469A" w14:textId="28C0BA42" w:rsidR="004309E0" w:rsidRDefault="004309E0" w:rsidP="004309E0">
            <w:pPr>
              <w:rPr>
                <w:rFonts w:eastAsia="DengXian"/>
              </w:rPr>
            </w:pPr>
            <w:r>
              <w:rPr>
                <w:rFonts w:eastAsia="DengXian"/>
              </w:rPr>
              <w:t xml:space="preserve">Unless otherwise stated, </w:t>
            </w:r>
            <w:r>
              <w:rPr>
                <w:rFonts w:eastAsia="DengXian"/>
                <w:lang w:eastAsia="zh-CN"/>
              </w:rPr>
              <w:t>PRACH</w:t>
            </w:r>
            <w:r>
              <w:rPr>
                <w:rFonts w:eastAsia="DengXian"/>
              </w:rPr>
              <w:t xml:space="preserve"> requirement tests shall apply only for each</w:t>
            </w:r>
            <w:r>
              <w:rPr>
                <w:rFonts w:eastAsia="DengXian"/>
                <w:lang w:eastAsia="zh-CN"/>
              </w:rPr>
              <w:t xml:space="preserve"> PRACH</w:t>
            </w:r>
            <w:r>
              <w:rPr>
                <w:rFonts w:eastAsia="DengXian"/>
              </w:rPr>
              <w:t xml:space="preserve"> </w:t>
            </w:r>
            <w:r>
              <w:rPr>
                <w:rFonts w:eastAsia="DengXian"/>
                <w:lang w:eastAsia="zh-CN"/>
              </w:rPr>
              <w:t>format</w:t>
            </w:r>
            <w:r>
              <w:rPr>
                <w:rFonts w:eastAsia="DengXian"/>
              </w:rPr>
              <w:t xml:space="preserve"> declared to be supported </w:t>
            </w:r>
            <w:r>
              <w:rPr>
                <w:rFonts w:eastAsia="DengXian"/>
                <w:lang w:eastAsia="zh-CN"/>
              </w:rPr>
              <w:t>(see [D.102] in table [4.6-1])</w:t>
            </w:r>
            <w:r>
              <w:rPr>
                <w:rFonts w:eastAsia="DengXian"/>
              </w:rPr>
              <w:t>.</w:t>
            </w:r>
          </w:p>
          <w:p w14:paraId="640957A8" w14:textId="77777777" w:rsidR="008D5EE7" w:rsidRDefault="008D5EE7" w:rsidP="008D5EE7">
            <w:pPr>
              <w:rPr>
                <w:lang w:val="en-GB"/>
              </w:rPr>
            </w:pPr>
          </w:p>
        </w:tc>
      </w:tr>
    </w:tbl>
    <w:p w14:paraId="749697EE" w14:textId="77777777" w:rsidR="008D5EE7" w:rsidRDefault="008D5EE7" w:rsidP="008D5EE7">
      <w:pPr>
        <w:rPr>
          <w:lang w:val="en-GB"/>
        </w:rPr>
      </w:pPr>
    </w:p>
    <w:p w14:paraId="32694165" w14:textId="59C7441D" w:rsidR="000A63D7" w:rsidRDefault="000A63D7" w:rsidP="000A63D7">
      <w:pPr>
        <w:pStyle w:val="RAN4proposal"/>
        <w:rPr>
          <w:rFonts w:eastAsia="DengXian"/>
        </w:rPr>
      </w:pPr>
      <w:bookmarkStart w:id="92" w:name="_Toc134700118"/>
      <w:r>
        <w:t xml:space="preserve">If PRACH format applicability rule inclusion is agreed, follow NR </w:t>
      </w:r>
      <w:proofErr w:type="gramStart"/>
      <w:r>
        <w:t>NTN</w:t>
      </w:r>
      <w:proofErr w:type="gramEnd"/>
      <w:r>
        <w:t xml:space="preserve"> and use the following wording in a new “Applicability of requirements for different formats” section: </w:t>
      </w:r>
      <w:r>
        <w:br/>
        <w:t>“</w:t>
      </w:r>
      <w:r>
        <w:rPr>
          <w:rFonts w:eastAsia="DengXian"/>
        </w:rPr>
        <w:t xml:space="preserve">Unless otherwise stated, </w:t>
      </w:r>
      <w:r>
        <w:rPr>
          <w:rFonts w:eastAsia="DengXian"/>
          <w:lang w:eastAsia="zh-CN"/>
        </w:rPr>
        <w:t>PRACH</w:t>
      </w:r>
      <w:r>
        <w:rPr>
          <w:rFonts w:eastAsia="DengXian"/>
        </w:rPr>
        <w:t xml:space="preserve"> requirement tests shall apply only for each</w:t>
      </w:r>
      <w:r>
        <w:rPr>
          <w:rFonts w:eastAsia="DengXian"/>
          <w:lang w:eastAsia="zh-CN"/>
        </w:rPr>
        <w:t xml:space="preserve"> PRACH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format</w:t>
      </w:r>
      <w:r>
        <w:rPr>
          <w:rFonts w:eastAsia="DengXian"/>
        </w:rPr>
        <w:t xml:space="preserve"> declared to be supported </w:t>
      </w:r>
      <w:r>
        <w:rPr>
          <w:rFonts w:eastAsia="DengXian"/>
          <w:lang w:eastAsia="zh-CN"/>
        </w:rPr>
        <w:t>(see [D.102] in table [4.6-1])</w:t>
      </w:r>
      <w:r>
        <w:rPr>
          <w:rFonts w:eastAsia="DengXian"/>
        </w:rPr>
        <w:t>.</w:t>
      </w:r>
      <w:bookmarkEnd w:id="92"/>
    </w:p>
    <w:p w14:paraId="16E7A389" w14:textId="77777777" w:rsidR="000A63D7" w:rsidRDefault="000A63D7" w:rsidP="008D5EE7">
      <w:pPr>
        <w:rPr>
          <w:lang w:val="en-GB"/>
        </w:rPr>
      </w:pPr>
    </w:p>
    <w:p w14:paraId="0E959430" w14:textId="3F35A887" w:rsidR="00125328" w:rsidRDefault="00DE6016" w:rsidP="00125328">
      <w:pPr>
        <w:pStyle w:val="RAN4H2"/>
        <w:rPr>
          <w:lang w:val="en-GB"/>
        </w:rPr>
      </w:pPr>
      <w:r>
        <w:rPr>
          <w:lang w:val="en-GB"/>
        </w:rPr>
        <w:t>Test Tolerance on TS 36.181</w:t>
      </w:r>
    </w:p>
    <w:p w14:paraId="2D4FA23C" w14:textId="1D636586" w:rsidR="00264D44" w:rsidRDefault="00264D44" w:rsidP="00264D44">
      <w:pPr>
        <w:rPr>
          <w:lang w:val="en-GB"/>
        </w:rPr>
      </w:pPr>
      <w:r>
        <w:rPr>
          <w:lang w:val="en-GB"/>
        </w:rPr>
        <w:t xml:space="preserve">Whilst developing the pCR for TS 36.181 </w:t>
      </w:r>
      <w:r w:rsidR="00006963">
        <w:rPr>
          <w:lang w:val="en-GB"/>
        </w:rPr>
        <w:t>we note that within the work split no test tolerance</w:t>
      </w:r>
      <w:r w:rsidR="00771A26">
        <w:rPr>
          <w:lang w:val="en-GB"/>
        </w:rPr>
        <w:t xml:space="preserve"> activity is specified. Whereas this will be </w:t>
      </w:r>
      <w:r w:rsidR="00C34450">
        <w:rPr>
          <w:lang w:val="en-GB"/>
        </w:rPr>
        <w:t>explicitly</w:t>
      </w:r>
      <w:r w:rsidR="00771A26">
        <w:rPr>
          <w:lang w:val="en-GB"/>
        </w:rPr>
        <w:t xml:space="preserve"> </w:t>
      </w:r>
      <w:r w:rsidR="00C34450">
        <w:rPr>
          <w:lang w:val="en-GB"/>
        </w:rPr>
        <w:t>included</w:t>
      </w:r>
      <w:r w:rsidR="00771A26">
        <w:rPr>
          <w:lang w:val="en-GB"/>
        </w:rPr>
        <w:t xml:space="preserve"> in clauses relating to conducted and radiated performance.</w:t>
      </w:r>
      <w:r w:rsidR="006D28FD">
        <w:rPr>
          <w:lang w:val="en-GB"/>
        </w:rPr>
        <w:t xml:space="preserve"> We believe this should be included in TS 36.181.</w:t>
      </w:r>
    </w:p>
    <w:p w14:paraId="6741300E" w14:textId="22B73F37" w:rsidR="00C34450" w:rsidRDefault="0047146B" w:rsidP="00C34450">
      <w:pPr>
        <w:pStyle w:val="RAN4proposal"/>
        <w:rPr>
          <w:lang w:val="en-GB"/>
        </w:rPr>
      </w:pPr>
      <w:bookmarkStart w:id="93" w:name="_Toc134700119"/>
      <w:r>
        <w:rPr>
          <w:lang w:val="en-GB"/>
        </w:rPr>
        <w:t xml:space="preserve">RAN4 shall introduce Test Tolerances for conducted and radiated performances </w:t>
      </w:r>
      <w:r w:rsidR="00D168D3">
        <w:rPr>
          <w:lang w:val="en-GB"/>
        </w:rPr>
        <w:t>within TS 36.181</w:t>
      </w:r>
      <w:bookmarkEnd w:id="93"/>
    </w:p>
    <w:p w14:paraId="1BAF497C" w14:textId="58051CBE" w:rsidR="00D168D3" w:rsidRDefault="002B6623" w:rsidP="00D168D3">
      <w:pPr>
        <w:pStyle w:val="RAN4H2"/>
        <w:rPr>
          <w:lang w:val="en-GB"/>
        </w:rPr>
      </w:pPr>
      <w:r>
        <w:rPr>
          <w:lang w:val="en-GB"/>
        </w:rPr>
        <w:t>Format and Wording for inclusion of Timing and Frequency Offset in TS 36.181</w:t>
      </w:r>
    </w:p>
    <w:p w14:paraId="639DF857" w14:textId="0CB92084" w:rsidR="002B6623" w:rsidRDefault="00CA0D5F" w:rsidP="002B6623">
      <w:pPr>
        <w:rPr>
          <w:lang w:val="en-GB"/>
        </w:rPr>
      </w:pPr>
      <w:r>
        <w:rPr>
          <w:lang w:val="en-GB"/>
        </w:rPr>
        <w:t xml:space="preserve">Whilst developing the pCR for TS 36.181 we note the discrepancy in the format </w:t>
      </w:r>
      <w:r w:rsidR="00B61FC9">
        <w:rPr>
          <w:lang w:val="en-GB"/>
        </w:rPr>
        <w:t>with whicn the Frequency and Timing offsets are presented for PUSCH, PUCCH and PRACH.</w:t>
      </w:r>
    </w:p>
    <w:p w14:paraId="48392965" w14:textId="0E72627E" w:rsidR="00B61FC9" w:rsidRDefault="00B61FC9" w:rsidP="002B6623">
      <w:pPr>
        <w:rPr>
          <w:lang w:val="en-GB"/>
        </w:rPr>
      </w:pPr>
      <w:r>
        <w:rPr>
          <w:lang w:val="en-GB"/>
        </w:rPr>
        <w:t>Within PRACH this is described as a simple sentence, whereas within PUSCH and PUCCH this is a table</w:t>
      </w:r>
    </w:p>
    <w:p w14:paraId="2C931C5A" w14:textId="482AE3EB" w:rsidR="002B6623" w:rsidRDefault="001F3026" w:rsidP="002B6623">
      <w:pPr>
        <w:rPr>
          <w:lang w:val="en-GB"/>
        </w:rPr>
      </w:pPr>
      <w:r>
        <w:rPr>
          <w:lang w:val="en-GB"/>
        </w:rPr>
        <w:t xml:space="preserve">Specifically for the Frequency offset in PUSCH and PUCCH </w:t>
      </w:r>
      <w:r w:rsidR="0094237F">
        <w:rPr>
          <w:lang w:val="en-GB"/>
        </w:rPr>
        <w:t xml:space="preserve">whilst the number of repetitions and Tx duration in one segment is </w:t>
      </w:r>
      <w:proofErr w:type="gramStart"/>
      <w:r w:rsidR="0094237F">
        <w:rPr>
          <w:lang w:val="en-GB"/>
        </w:rPr>
        <w:t>useful</w:t>
      </w:r>
      <w:proofErr w:type="gramEnd"/>
      <w:r w:rsidR="0094237F">
        <w:rPr>
          <w:lang w:val="en-GB"/>
        </w:rPr>
        <w:t xml:space="preserve"> we note this could be considered supplementary information which is not required for the test.</w:t>
      </w:r>
      <w:r w:rsidR="006F3CE9">
        <w:rPr>
          <w:lang w:val="en-GB"/>
        </w:rPr>
        <w:t xml:space="preserve"> </w:t>
      </w:r>
      <w:proofErr w:type="gramStart"/>
      <w:r w:rsidR="006F3CE9">
        <w:rPr>
          <w:lang w:val="en-GB"/>
        </w:rPr>
        <w:t>Therefore</w:t>
      </w:r>
      <w:proofErr w:type="gramEnd"/>
      <w:r w:rsidR="006F3CE9">
        <w:rPr>
          <w:lang w:val="en-GB"/>
        </w:rPr>
        <w:t xml:space="preserve"> we propose that this is discussed at RAN4#107.</w:t>
      </w:r>
    </w:p>
    <w:p w14:paraId="50A6CCF6" w14:textId="097B22A9" w:rsidR="006F3CE9" w:rsidRDefault="006F3CE9" w:rsidP="006F3CE9">
      <w:pPr>
        <w:pStyle w:val="RAN4proposal"/>
      </w:pPr>
      <w:bookmarkStart w:id="94" w:name="_Toc134700120"/>
      <w:r>
        <w:t>RAN4 to decide format for inclusion of frequency and timing offsets for PUSCH and PUCCH for TS 36.181.</w:t>
      </w:r>
      <w:bookmarkEnd w:id="94"/>
    </w:p>
    <w:p w14:paraId="4F2EC776" w14:textId="77777777" w:rsidR="006F3CE9" w:rsidRPr="002B6623" w:rsidRDefault="006F3CE9" w:rsidP="002B6623">
      <w:pPr>
        <w:rPr>
          <w:lang w:val="en-GB"/>
        </w:rPr>
      </w:pPr>
    </w:p>
    <w:p w14:paraId="6F8BCE72" w14:textId="77777777" w:rsidR="00CD7492" w:rsidRPr="00E72775" w:rsidRDefault="00CD7492" w:rsidP="00A37002">
      <w:pPr>
        <w:pStyle w:val="RAN4H1"/>
        <w:rPr>
          <w:lang w:val="en-US"/>
        </w:rPr>
      </w:pPr>
      <w:bookmarkStart w:id="95" w:name="_Toc116995848"/>
      <w:r w:rsidRPr="00E72775">
        <w:rPr>
          <w:lang w:val="en-US"/>
        </w:rPr>
        <w:t>Conclusion</w:t>
      </w:r>
      <w:bookmarkEnd w:id="95"/>
    </w:p>
    <w:p w14:paraId="617BD091" w14:textId="01A3DB2B" w:rsidR="008B0961" w:rsidRPr="00E31E58" w:rsidRDefault="00A64BFB" w:rsidP="005C23A4">
      <w:r w:rsidRPr="00E31E58">
        <w:t xml:space="preserve">Within this </w:t>
      </w:r>
      <w:r w:rsidR="00BB1141" w:rsidRPr="00E31E58">
        <w:t>paper</w:t>
      </w:r>
      <w:r w:rsidRPr="00E31E58">
        <w:t xml:space="preserve"> </w:t>
      </w:r>
      <w:r w:rsidR="0090584A">
        <w:t>we have presented a view on the</w:t>
      </w:r>
      <w:r w:rsidR="00D96DB3">
        <w:t xml:space="preserve"> SAN demodulation.</w:t>
      </w:r>
    </w:p>
    <w:p w14:paraId="3CB09F24" w14:textId="060DC101" w:rsidR="00E55751" w:rsidRDefault="00BB1141" w:rsidP="00936159">
      <w:r w:rsidRPr="00E31E58">
        <w:t>Specifically, i</w:t>
      </w:r>
      <w:r w:rsidR="008B0961" w:rsidRPr="00E31E58">
        <w:t>n the paper, t</w:t>
      </w:r>
      <w:r w:rsidR="005B4801" w:rsidRPr="00E31E58">
        <w:t xml:space="preserve">he following Observations </w:t>
      </w:r>
      <w:r w:rsidR="008B0961" w:rsidRPr="00E31E58">
        <w:t>and</w:t>
      </w:r>
      <w:r w:rsidR="005B4801" w:rsidRPr="00E31E58">
        <w:t xml:space="preserve"> Proposals were made:</w:t>
      </w:r>
    </w:p>
    <w:p w14:paraId="58B2005B" w14:textId="6E8B38FF" w:rsidR="00B4111C" w:rsidRPr="00E31E58" w:rsidRDefault="00B4111C" w:rsidP="00936159">
      <w:r w:rsidRPr="00B4111C">
        <w:rPr>
          <w:b/>
          <w:bCs/>
        </w:rPr>
        <w:t>Observation 1:</w:t>
      </w:r>
      <w:r w:rsidRPr="00B4111C">
        <w:t xml:space="preserve"> NTN-TDLA100 channels representing a more rural deployment, and NTN-TDLA100 represents a deployment scenario which could be in an urban setting.</w:t>
      </w:r>
    </w:p>
    <w:p w14:paraId="37DA1D58" w14:textId="5E441396" w:rsidR="0079775C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r w:rsidRPr="00701345">
        <w:rPr>
          <w:i/>
          <w:iCs/>
          <w:noProof/>
          <w:highlight w:val="yellow"/>
        </w:rPr>
        <w:fldChar w:fldCharType="begin"/>
      </w:r>
      <w:r w:rsidRPr="00701345">
        <w:rPr>
          <w:i/>
          <w:iCs/>
          <w:noProof/>
          <w:highlight w:val="yellow"/>
        </w:rPr>
        <w:instrText xml:space="preserve"> TOC \n \h \z \t "RAN4 proposal,5,RAN4 observation,4" </w:instrText>
      </w:r>
      <w:r w:rsidRPr="00701345">
        <w:rPr>
          <w:i/>
          <w:iCs/>
          <w:noProof/>
          <w:highlight w:val="yellow"/>
        </w:rPr>
        <w:fldChar w:fldCharType="separate"/>
      </w:r>
      <w:hyperlink w:anchor="_Toc134700108" w:history="1">
        <w:r w:rsidR="0079775C" w:rsidRPr="00483FD8">
          <w:rPr>
            <w:rStyle w:val="Hyperlink"/>
            <w:noProof/>
          </w:rPr>
          <w:t>Proposal 1: For PUSCH requirements, RAN4 shall have requirement for both propagation conditions (NTN-TDLC5-5 and NTN-TDLA100-5), which shall be included in TS 36.108 and TS 36.181.</w:t>
        </w:r>
      </w:hyperlink>
    </w:p>
    <w:p w14:paraId="45A482E3" w14:textId="2C3F2B3F" w:rsidR="0079775C" w:rsidRDefault="00686E8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00109" w:history="1">
        <w:r w:rsidR="0079775C" w:rsidRPr="00483FD8">
          <w:rPr>
            <w:rStyle w:val="Hyperlink"/>
            <w:noProof/>
          </w:rPr>
          <w:t>Proposal 2: For NPUSCH requirements, RAN4 shall have requirement for both propagation conditions (NTN-TDLC5-1 and NTN-TDLA100-1), which shall be included in TS 36.108 and TS 36.181.</w:t>
        </w:r>
      </w:hyperlink>
    </w:p>
    <w:p w14:paraId="533E0C64" w14:textId="32008B02" w:rsidR="0079775C" w:rsidRDefault="00686E8C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4700110" w:history="1">
        <w:r w:rsidR="0079775C" w:rsidRPr="00483FD8">
          <w:rPr>
            <w:rStyle w:val="Hyperlink"/>
            <w:b/>
            <w:noProof/>
          </w:rPr>
          <w:t>Observation 2:</w:t>
        </w:r>
        <w:r w:rsidR="0079775C" w:rsidRPr="00483FD8">
          <w:rPr>
            <w:rStyle w:val="Hyperlink"/>
            <w:noProof/>
          </w:rPr>
          <w:t xml:space="preserve"> We believe that some PUSCH applicability rules may be needed for TS 36.181, specifically around different configurations.</w:t>
        </w:r>
      </w:hyperlink>
    </w:p>
    <w:p w14:paraId="0E6E2E93" w14:textId="3F8B4981" w:rsidR="0079775C" w:rsidRDefault="00686E8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00111" w:history="1">
        <w:r w:rsidR="0079775C" w:rsidRPr="00483FD8">
          <w:rPr>
            <w:rStyle w:val="Hyperlink"/>
            <w:noProof/>
          </w:rPr>
          <w:t>Proposal 3: RAN4 to decide whether PUSCH format (CE A vs. B) applicability rules are required for TS 36.181.</w:t>
        </w:r>
      </w:hyperlink>
    </w:p>
    <w:p w14:paraId="33FD7380" w14:textId="6D6C4C5F" w:rsidR="0079775C" w:rsidRDefault="00686E8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00112" w:history="1">
        <w:r w:rsidR="0079775C" w:rsidRPr="00483FD8">
          <w:rPr>
            <w:rStyle w:val="Hyperlink"/>
            <w:noProof/>
          </w:rPr>
          <w:t>Proposal 4: If PUSCH format applicability rule inclusion is agreed, follow NR NTN and use the following wording in a new “Applicability of requirements for different configurations” section:  “Unless otherwise stated, PUSCH requirement tests shall apply only for the mapping type declared to be supported (see [D.100] in table [4.6-1]). If both mapping type A and type B are declared to be supported, the tests shall be done for either type A or type B; the same chosen mapping type shall then be used for all tests.”.</w:t>
        </w:r>
      </w:hyperlink>
    </w:p>
    <w:p w14:paraId="1D44D4E3" w14:textId="0CDA271E" w:rsidR="0079775C" w:rsidRDefault="00686E8C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4700113" w:history="1">
        <w:r w:rsidR="0079775C" w:rsidRPr="00483FD8">
          <w:rPr>
            <w:rStyle w:val="Hyperlink"/>
            <w:b/>
            <w:noProof/>
          </w:rPr>
          <w:t>Observation 3:</w:t>
        </w:r>
        <w:r w:rsidR="0079775C" w:rsidRPr="00483FD8">
          <w:rPr>
            <w:rStyle w:val="Hyperlink"/>
            <w:noProof/>
          </w:rPr>
          <w:t xml:space="preserve"> We believe that some PUCCH applicability rules are needed for TS 36.181, specifically around multi-slot</w:t>
        </w:r>
      </w:hyperlink>
    </w:p>
    <w:p w14:paraId="74A7C4B4" w14:textId="3B924C4A" w:rsidR="0079775C" w:rsidRDefault="00686E8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00114" w:history="1">
        <w:r w:rsidR="0079775C" w:rsidRPr="00483FD8">
          <w:rPr>
            <w:rStyle w:val="Hyperlink"/>
            <w:noProof/>
          </w:rPr>
          <w:t>Proposal 5: RAN4 to decide whether PUCCH multi-slot applicability rules are required for TS 36.181</w:t>
        </w:r>
      </w:hyperlink>
    </w:p>
    <w:p w14:paraId="63322F17" w14:textId="7DCD575B" w:rsidR="0079775C" w:rsidRDefault="00686E8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00115" w:history="1">
        <w:r w:rsidR="0079775C" w:rsidRPr="00483FD8">
          <w:rPr>
            <w:rStyle w:val="Hyperlink"/>
            <w:rFonts w:eastAsia="DengXian"/>
            <w:noProof/>
          </w:rPr>
          <w:t>Proposal 6:</w:t>
        </w:r>
        <w:r w:rsidR="0079775C" w:rsidRPr="00483FD8">
          <w:rPr>
            <w:rStyle w:val="Hyperlink"/>
            <w:noProof/>
          </w:rPr>
          <w:t xml:space="preserve"> If PUCCH multi-slot applicability rule inclusion is agreed, follow NR NTN and use the following wording in a new “Applicability of requirements for multi-slot PUCCH” section:  “</w:t>
        </w:r>
        <w:r w:rsidR="0079775C" w:rsidRPr="00483FD8">
          <w:rPr>
            <w:rStyle w:val="Hyperlink"/>
            <w:rFonts w:eastAsia="DengXian"/>
            <w:noProof/>
          </w:rPr>
          <w:t xml:space="preserve">Unless otherwise stated, </w:t>
        </w:r>
        <w:r w:rsidR="0079775C" w:rsidRPr="00483FD8">
          <w:rPr>
            <w:rStyle w:val="Hyperlink"/>
            <w:rFonts w:eastAsia="DengXian"/>
            <w:noProof/>
            <w:lang w:eastAsia="zh-CN"/>
          </w:rPr>
          <w:t xml:space="preserve">multi-slot </w:t>
        </w:r>
        <w:r w:rsidR="0079775C" w:rsidRPr="00483FD8">
          <w:rPr>
            <w:rStyle w:val="Hyperlink"/>
            <w:rFonts w:eastAsia="DengXian"/>
            <w:noProof/>
          </w:rPr>
          <w:t xml:space="preserve">PUCCH requirement tests shall apply only </w:t>
        </w:r>
        <w:r w:rsidR="0079775C" w:rsidRPr="00483FD8">
          <w:rPr>
            <w:rStyle w:val="Hyperlink"/>
            <w:rFonts w:eastAsia="DengXian"/>
            <w:noProof/>
            <w:lang w:eastAsia="zh-CN"/>
          </w:rPr>
          <w:t>if the SAN supports it (see [D.105] in table [4.6-1])”</w:t>
        </w:r>
        <w:r w:rsidR="0079775C" w:rsidRPr="00483FD8">
          <w:rPr>
            <w:rStyle w:val="Hyperlink"/>
            <w:rFonts w:eastAsia="DengXian"/>
            <w:noProof/>
          </w:rPr>
          <w:t>.</w:t>
        </w:r>
      </w:hyperlink>
    </w:p>
    <w:p w14:paraId="17456F62" w14:textId="30FFDB5D" w:rsidR="0079775C" w:rsidRDefault="00686E8C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4700116" w:history="1">
        <w:r w:rsidR="0079775C" w:rsidRPr="00483FD8">
          <w:rPr>
            <w:rStyle w:val="Hyperlink"/>
            <w:b/>
            <w:noProof/>
          </w:rPr>
          <w:t>Observation 4:</w:t>
        </w:r>
        <w:r w:rsidR="0079775C" w:rsidRPr="00483FD8">
          <w:rPr>
            <w:rStyle w:val="Hyperlink"/>
            <w:noProof/>
          </w:rPr>
          <w:t xml:space="preserve"> We believe that some PRACH applicability rules may be needed for TS 36.181, specifically around different formats</w:t>
        </w:r>
      </w:hyperlink>
    </w:p>
    <w:p w14:paraId="5DCEB6E6" w14:textId="2DE37F58" w:rsidR="0079775C" w:rsidRDefault="00686E8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00117" w:history="1">
        <w:r w:rsidR="0079775C" w:rsidRPr="00483FD8">
          <w:rPr>
            <w:rStyle w:val="Hyperlink"/>
            <w:noProof/>
            <w:lang w:val="en-GB"/>
          </w:rPr>
          <w:t>Proposal 7:</w:t>
        </w:r>
        <w:r w:rsidR="0079775C" w:rsidRPr="00483FD8">
          <w:rPr>
            <w:rStyle w:val="Hyperlink"/>
            <w:noProof/>
          </w:rPr>
          <w:t xml:space="preserve"> RAN4 to decide whether </w:t>
        </w:r>
        <w:r w:rsidR="0079775C" w:rsidRPr="00483FD8">
          <w:rPr>
            <w:rStyle w:val="Hyperlink"/>
            <w:noProof/>
            <w:lang w:val="en-GB"/>
          </w:rPr>
          <w:t>PRACH format applicability rules are required for TS 36.181</w:t>
        </w:r>
      </w:hyperlink>
    </w:p>
    <w:p w14:paraId="5E4B8D83" w14:textId="0D983B8A" w:rsidR="0079775C" w:rsidRDefault="00686E8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00118" w:history="1">
        <w:r w:rsidR="0079775C" w:rsidRPr="00483FD8">
          <w:rPr>
            <w:rStyle w:val="Hyperlink"/>
            <w:rFonts w:eastAsia="DengXian"/>
            <w:noProof/>
          </w:rPr>
          <w:t>Proposal 8:</w:t>
        </w:r>
        <w:r w:rsidR="0079775C" w:rsidRPr="00483FD8">
          <w:rPr>
            <w:rStyle w:val="Hyperlink"/>
            <w:noProof/>
          </w:rPr>
          <w:t xml:space="preserve"> If PRACH format applicability rule inclusion is agreed, follow NR NTN and use the following wording in a new “Applicability of requirements for different formats” section:  “</w:t>
        </w:r>
        <w:r w:rsidR="0079775C" w:rsidRPr="00483FD8">
          <w:rPr>
            <w:rStyle w:val="Hyperlink"/>
            <w:rFonts w:eastAsia="DengXian"/>
            <w:noProof/>
          </w:rPr>
          <w:t xml:space="preserve">Unless otherwise stated, </w:t>
        </w:r>
        <w:r w:rsidR="0079775C" w:rsidRPr="00483FD8">
          <w:rPr>
            <w:rStyle w:val="Hyperlink"/>
            <w:rFonts w:eastAsia="DengXian"/>
            <w:noProof/>
            <w:lang w:eastAsia="zh-CN"/>
          </w:rPr>
          <w:t>PRACH</w:t>
        </w:r>
        <w:r w:rsidR="0079775C" w:rsidRPr="00483FD8">
          <w:rPr>
            <w:rStyle w:val="Hyperlink"/>
            <w:rFonts w:eastAsia="DengXian"/>
            <w:noProof/>
          </w:rPr>
          <w:t xml:space="preserve"> requirement tests shall apply only for each</w:t>
        </w:r>
        <w:r w:rsidR="0079775C" w:rsidRPr="00483FD8">
          <w:rPr>
            <w:rStyle w:val="Hyperlink"/>
            <w:rFonts w:eastAsia="DengXian"/>
            <w:noProof/>
            <w:lang w:eastAsia="zh-CN"/>
          </w:rPr>
          <w:t xml:space="preserve"> PRACH</w:t>
        </w:r>
        <w:r w:rsidR="0079775C" w:rsidRPr="00483FD8">
          <w:rPr>
            <w:rStyle w:val="Hyperlink"/>
            <w:rFonts w:eastAsia="DengXian"/>
            <w:noProof/>
          </w:rPr>
          <w:t xml:space="preserve"> </w:t>
        </w:r>
        <w:r w:rsidR="0079775C" w:rsidRPr="00483FD8">
          <w:rPr>
            <w:rStyle w:val="Hyperlink"/>
            <w:rFonts w:eastAsia="DengXian"/>
            <w:noProof/>
            <w:lang w:eastAsia="zh-CN"/>
          </w:rPr>
          <w:t>format</w:t>
        </w:r>
        <w:r w:rsidR="0079775C" w:rsidRPr="00483FD8">
          <w:rPr>
            <w:rStyle w:val="Hyperlink"/>
            <w:rFonts w:eastAsia="DengXian"/>
            <w:noProof/>
          </w:rPr>
          <w:t xml:space="preserve"> declared to be supported </w:t>
        </w:r>
        <w:r w:rsidR="0079775C" w:rsidRPr="00483FD8">
          <w:rPr>
            <w:rStyle w:val="Hyperlink"/>
            <w:rFonts w:eastAsia="DengXian"/>
            <w:noProof/>
            <w:lang w:eastAsia="zh-CN"/>
          </w:rPr>
          <w:t>(see [D.102] in table [4.6-1])</w:t>
        </w:r>
        <w:r w:rsidR="0079775C" w:rsidRPr="00483FD8">
          <w:rPr>
            <w:rStyle w:val="Hyperlink"/>
            <w:rFonts w:eastAsia="DengXian"/>
            <w:noProof/>
          </w:rPr>
          <w:t>.</w:t>
        </w:r>
      </w:hyperlink>
    </w:p>
    <w:p w14:paraId="1380D361" w14:textId="00D0D610" w:rsidR="0079775C" w:rsidRDefault="00686E8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00119" w:history="1">
        <w:r w:rsidR="0079775C" w:rsidRPr="00483FD8">
          <w:rPr>
            <w:rStyle w:val="Hyperlink"/>
            <w:noProof/>
            <w:lang w:val="en-GB"/>
          </w:rPr>
          <w:t>Proposal 9: RAN4 shall introduce Test Tolerances for conducted and radiated performances within TS 36.181</w:t>
        </w:r>
      </w:hyperlink>
    </w:p>
    <w:p w14:paraId="5039DC38" w14:textId="2800F1EA" w:rsidR="0079775C" w:rsidRDefault="00686E8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00120" w:history="1">
        <w:r w:rsidR="0079775C" w:rsidRPr="00483FD8">
          <w:rPr>
            <w:rStyle w:val="Hyperlink"/>
            <w:noProof/>
          </w:rPr>
          <w:t>Proposal 10: RAN4 to decide format for inclusion of frequency and timing offsets for PUSCH and PUCCH for TS 36.181.</w:t>
        </w:r>
      </w:hyperlink>
    </w:p>
    <w:p w14:paraId="2BF781D1" w14:textId="56C24215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 w:rsidRPr="00701345">
        <w:rPr>
          <w:noProof/>
          <w:highlight w:val="yellow"/>
        </w:rPr>
        <w:fldChar w:fldCharType="end"/>
      </w:r>
      <w:bookmarkStart w:id="96" w:name="_Toc116995849"/>
      <w:r w:rsidR="003B659E" w:rsidRPr="00EF698B">
        <w:t>References</w:t>
      </w:r>
      <w:bookmarkEnd w:id="96"/>
    </w:p>
    <w:bookmarkStart w:id="97" w:name="_Ref114500673"/>
    <w:bookmarkStart w:id="98" w:name="_Ref126677383"/>
    <w:bookmarkEnd w:id="97"/>
    <w:p w14:paraId="57721539" w14:textId="7451331C" w:rsidR="00860B87" w:rsidRPr="00860B87" w:rsidRDefault="00AF4A1E" w:rsidP="00860B87">
      <w:pPr>
        <w:pStyle w:val="ListParagraph"/>
        <w:numPr>
          <w:ilvl w:val="0"/>
          <w:numId w:val="21"/>
        </w:numPr>
        <w:ind w:right="-22"/>
      </w:pPr>
      <w:r>
        <w:fldChar w:fldCharType="begin"/>
      </w:r>
      <w:r w:rsidR="003611DE">
        <w:instrText>HYPERLINK "https://www.3gpp.org/ftp/tsg_ran/TSG_RAN/TSGR_92e/Info_for_workplan/new_approved_WID_11/RAN1_1/RP-211601.zip"</w:instrText>
      </w:r>
      <w:r>
        <w:fldChar w:fldCharType="separate"/>
      </w:r>
      <w:r w:rsidR="00860B87" w:rsidRPr="00AF4A1E">
        <w:rPr>
          <w:rStyle w:val="Hyperlink"/>
        </w:rPr>
        <w:t>RP-211601</w:t>
      </w:r>
      <w:r>
        <w:fldChar w:fldCharType="end"/>
      </w:r>
      <w:r w:rsidR="00860B87" w:rsidRPr="00860B87">
        <w:t xml:space="preserve">, </w:t>
      </w:r>
      <w:r w:rsidR="00860B87" w:rsidRPr="00860B87">
        <w:rPr>
          <w:i/>
          <w:iCs/>
        </w:rPr>
        <w:t>WID on NB-IoT/eMTC support for NTN</w:t>
      </w:r>
      <w:r w:rsidR="00860B87" w:rsidRPr="00860B87">
        <w:t>, Mediatek Inc</w:t>
      </w:r>
      <w:r w:rsidR="00860B87">
        <w:t xml:space="preserve"> &amp; Eutelsat S.A</w:t>
      </w:r>
      <w:r w:rsidR="00860B87" w:rsidRPr="00860B87">
        <w:t>, TSG RAN #9</w:t>
      </w:r>
      <w:r w:rsidR="00860B87">
        <w:t>2</w:t>
      </w:r>
      <w:r w:rsidR="00860B87" w:rsidRPr="00860B87">
        <w:t>e</w:t>
      </w:r>
      <w:r w:rsidR="00860B87">
        <w:t xml:space="preserve">, June </w:t>
      </w:r>
      <w:r w:rsidR="00860B87" w:rsidRPr="00860B87">
        <w:t>202</w:t>
      </w:r>
      <w:r w:rsidR="00860B87">
        <w:t>1</w:t>
      </w:r>
      <w:bookmarkEnd w:id="98"/>
      <w:r w:rsidR="00860B87" w:rsidRPr="00860B87">
        <w:t xml:space="preserve"> </w:t>
      </w:r>
    </w:p>
    <w:bookmarkStart w:id="99" w:name="_Ref126677391"/>
    <w:p w14:paraId="04E752E0" w14:textId="21F42AEE" w:rsidR="000040DC" w:rsidRDefault="00DE10A5" w:rsidP="000040DC">
      <w:pPr>
        <w:pStyle w:val="ListParagraph"/>
        <w:numPr>
          <w:ilvl w:val="0"/>
          <w:numId w:val="21"/>
        </w:numPr>
        <w:ind w:right="-22"/>
      </w:pPr>
      <w:r>
        <w:fldChar w:fldCharType="begin"/>
      </w:r>
      <w:r w:rsidR="006C1E0B">
        <w:instrText>HYPERLINK "https://www.3gpp.org/ftp/TSG_RAN/TSG_RAN/TSGR_95e/Docs/RP-220938.zip"</w:instrText>
      </w:r>
      <w:r>
        <w:fldChar w:fldCharType="separate"/>
      </w:r>
      <w:r w:rsidR="005B4707" w:rsidRPr="00DE10A5">
        <w:rPr>
          <w:rStyle w:val="Hyperlink"/>
        </w:rPr>
        <w:t>RP-220938</w:t>
      </w:r>
      <w:r>
        <w:fldChar w:fldCharType="end"/>
      </w:r>
      <w:r w:rsidR="000040DC" w:rsidRPr="00860B87">
        <w:t xml:space="preserve">, </w:t>
      </w:r>
      <w:r w:rsidR="005B4707" w:rsidRPr="00860B87">
        <w:rPr>
          <w:i/>
          <w:iCs/>
        </w:rPr>
        <w:t>New WID on NB-IoT/eMTC core &amp; performance requirements for NTN</w:t>
      </w:r>
      <w:r w:rsidR="00860B87" w:rsidRPr="00860B87">
        <w:t>, Mediatek Inc, TSG RAN #95e March 2022</w:t>
      </w:r>
      <w:bookmarkEnd w:id="99"/>
      <w:r w:rsidR="000040DC" w:rsidRPr="00860B87">
        <w:t xml:space="preserve"> </w:t>
      </w:r>
    </w:p>
    <w:p w14:paraId="3FE3E392" w14:textId="7B2F4DE7" w:rsidR="00C366E9" w:rsidRDefault="00CB518D" w:rsidP="000040DC">
      <w:pPr>
        <w:pStyle w:val="ListParagraph"/>
        <w:numPr>
          <w:ilvl w:val="0"/>
          <w:numId w:val="21"/>
        </w:numPr>
        <w:ind w:right="-22"/>
      </w:pPr>
      <w:bookmarkStart w:id="100" w:name="_Ref131411816"/>
      <w:r w:rsidRPr="00CB518D">
        <w:t>R4-2305965</w:t>
      </w:r>
      <w:r w:rsidR="00C366E9">
        <w:t>,</w:t>
      </w:r>
      <w:r w:rsidR="00C366E9" w:rsidRPr="00C366E9">
        <w:t xml:space="preserve"> </w:t>
      </w:r>
      <w:r w:rsidRPr="00CB518D">
        <w:rPr>
          <w:i/>
          <w:iCs/>
        </w:rPr>
        <w:t>WF on IoT NTN SAN demodulation requirements</w:t>
      </w:r>
      <w:r w:rsidR="00C366E9">
        <w:t>,</w:t>
      </w:r>
      <w:r w:rsidR="00C366E9" w:rsidRPr="00C366E9">
        <w:t xml:space="preserve"> </w:t>
      </w:r>
      <w:r w:rsidR="00C366E9">
        <w:t>RAN4 WG 4 #106</w:t>
      </w:r>
      <w:r>
        <w:t>-bis-e</w:t>
      </w:r>
      <w:r w:rsidR="00C366E9">
        <w:t xml:space="preserve">, </w:t>
      </w:r>
      <w:bookmarkEnd w:id="100"/>
      <w:r w:rsidRPr="00CB518D">
        <w:t>Electronic Meeting, 17 April ‒ 26 April 2023</w:t>
      </w:r>
    </w:p>
    <w:bookmarkStart w:id="101" w:name="_Ref126677998"/>
    <w:p w14:paraId="45912E4D" w14:textId="6CAB017A" w:rsidR="00860B87" w:rsidRDefault="00EA492B" w:rsidP="000040DC">
      <w:pPr>
        <w:pStyle w:val="ListParagraph"/>
        <w:numPr>
          <w:ilvl w:val="0"/>
          <w:numId w:val="21"/>
        </w:numPr>
        <w:ind w:right="-22"/>
      </w:pPr>
      <w:r>
        <w:fldChar w:fldCharType="begin"/>
      </w:r>
      <w:r>
        <w:instrText xml:space="preserve"> HYPERLINK "https://www.3gpp.org/ftp/Meetings_3GPP_SYNC/RAN4/Docs/R4-2220278.zip" </w:instrText>
      </w:r>
      <w:r>
        <w:fldChar w:fldCharType="separate"/>
      </w:r>
      <w:r w:rsidR="00860B87" w:rsidRPr="00EA492B">
        <w:rPr>
          <w:rStyle w:val="Hyperlink"/>
        </w:rPr>
        <w:t>R4-2220278,</w:t>
      </w:r>
      <w:r>
        <w:fldChar w:fldCharType="end"/>
      </w:r>
      <w:r w:rsidR="00860B87">
        <w:t xml:space="preserve"> </w:t>
      </w:r>
      <w:r w:rsidR="00860B87" w:rsidRPr="00860B87">
        <w:rPr>
          <w:i/>
          <w:iCs/>
        </w:rPr>
        <w:t>WF on IoT-NTN UE demodulation and CQI reporting requirements</w:t>
      </w:r>
      <w:r w:rsidR="00860B87">
        <w:rPr>
          <w:i/>
          <w:iCs/>
        </w:rPr>
        <w:t xml:space="preserve">, </w:t>
      </w:r>
      <w:r w:rsidR="00860B87" w:rsidRPr="00860B87">
        <w:t>MediaTek</w:t>
      </w:r>
      <w:r w:rsidR="006E6A5F">
        <w:t xml:space="preserve"> Inc., RAN WG4 #105, Toulouse, Nov. 2022</w:t>
      </w:r>
      <w:bookmarkEnd w:id="101"/>
    </w:p>
    <w:p w14:paraId="2B654BF3" w14:textId="26DB4EDE" w:rsidR="00BA19C5" w:rsidRDefault="00BA19C5" w:rsidP="00BA19C5">
      <w:pPr>
        <w:pStyle w:val="ListParagraph"/>
        <w:numPr>
          <w:ilvl w:val="0"/>
          <w:numId w:val="21"/>
        </w:numPr>
        <w:ind w:right="-22"/>
      </w:pPr>
      <w:bookmarkStart w:id="102" w:name="_Ref126748888"/>
      <w:r>
        <w:t>3GPP TS 36.213, “</w:t>
      </w:r>
      <w:r w:rsidRPr="00BA19C5">
        <w:rPr>
          <w:i/>
          <w:iCs/>
        </w:rPr>
        <w:t>Evolved Universal Terrestrial Radio Access (E-UTRA); Physical layer procedures</w:t>
      </w:r>
      <w:r>
        <w:t>”, 3GPP, Release 17.</w:t>
      </w:r>
      <w:r w:rsidR="00701345">
        <w:t>2</w:t>
      </w:r>
      <w:r>
        <w:t>.0</w:t>
      </w:r>
      <w:bookmarkEnd w:id="102"/>
    </w:p>
    <w:sectPr w:rsidR="00BA19C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81F10" w14:textId="77777777" w:rsidR="008121DC" w:rsidRDefault="008121DC" w:rsidP="00001C9B">
      <w:pPr>
        <w:spacing w:after="0" w:line="240" w:lineRule="auto"/>
      </w:pPr>
      <w:r>
        <w:separator/>
      </w:r>
    </w:p>
  </w:endnote>
  <w:endnote w:type="continuationSeparator" w:id="0">
    <w:p w14:paraId="60B105EC" w14:textId="77777777" w:rsidR="008121DC" w:rsidRDefault="008121DC" w:rsidP="00001C9B">
      <w:pPr>
        <w:spacing w:after="0" w:line="240" w:lineRule="auto"/>
      </w:pPr>
      <w:r>
        <w:continuationSeparator/>
      </w:r>
    </w:p>
  </w:endnote>
  <w:endnote w:type="continuationNotice" w:id="1">
    <w:p w14:paraId="7E671411" w14:textId="77777777" w:rsidR="008121DC" w:rsidRDefault="008121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C3F31" w14:textId="77777777" w:rsidR="008121DC" w:rsidRDefault="008121DC" w:rsidP="00001C9B">
      <w:pPr>
        <w:spacing w:after="0" w:line="240" w:lineRule="auto"/>
      </w:pPr>
      <w:r>
        <w:separator/>
      </w:r>
    </w:p>
  </w:footnote>
  <w:footnote w:type="continuationSeparator" w:id="0">
    <w:p w14:paraId="604DA0DC" w14:textId="77777777" w:rsidR="008121DC" w:rsidRDefault="008121DC" w:rsidP="00001C9B">
      <w:pPr>
        <w:spacing w:after="0" w:line="240" w:lineRule="auto"/>
      </w:pPr>
      <w:r>
        <w:continuationSeparator/>
      </w:r>
    </w:p>
  </w:footnote>
  <w:footnote w:type="continuationNotice" w:id="1">
    <w:p w14:paraId="14F00B9E" w14:textId="77777777" w:rsidR="008121DC" w:rsidRDefault="008121D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EE5092"/>
    <w:multiLevelType w:val="multilevel"/>
    <w:tmpl w:val="ADEC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4C017F"/>
    <w:multiLevelType w:val="hybridMultilevel"/>
    <w:tmpl w:val="48240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2344D70"/>
    <w:multiLevelType w:val="hybridMultilevel"/>
    <w:tmpl w:val="DC3224B4"/>
    <w:lvl w:ilvl="0" w:tplc="375066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67534"/>
    <w:multiLevelType w:val="multilevel"/>
    <w:tmpl w:val="2E5A8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56B37"/>
    <w:multiLevelType w:val="hybridMultilevel"/>
    <w:tmpl w:val="F5EAC22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957641"/>
    <w:multiLevelType w:val="hybridMultilevel"/>
    <w:tmpl w:val="B53A0F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3098A3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090011">
      <w:start w:val="1"/>
      <w:numFmt w:val="decimal"/>
      <w:lvlText w:val="%4)"/>
      <w:lvlJc w:val="left"/>
      <w:pPr>
        <w:ind w:left="3096" w:hanging="360"/>
      </w:pPr>
      <w:rPr>
        <w:rFonts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1ED516F"/>
    <w:multiLevelType w:val="hybridMultilevel"/>
    <w:tmpl w:val="B1406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339806">
    <w:abstractNumId w:val="1"/>
  </w:num>
  <w:num w:numId="2" w16cid:durableId="871379567">
    <w:abstractNumId w:val="9"/>
  </w:num>
  <w:num w:numId="3" w16cid:durableId="5136717">
    <w:abstractNumId w:val="15"/>
  </w:num>
  <w:num w:numId="4" w16cid:durableId="590965252">
    <w:abstractNumId w:val="8"/>
  </w:num>
  <w:num w:numId="5" w16cid:durableId="1950308473">
    <w:abstractNumId w:val="20"/>
  </w:num>
  <w:num w:numId="6" w16cid:durableId="1907449218">
    <w:abstractNumId w:val="13"/>
  </w:num>
  <w:num w:numId="7" w16cid:durableId="515386763">
    <w:abstractNumId w:val="14"/>
  </w:num>
  <w:num w:numId="8" w16cid:durableId="1583221704">
    <w:abstractNumId w:val="14"/>
    <w:lvlOverride w:ilvl="0">
      <w:startOverride w:val="1"/>
    </w:lvlOverride>
  </w:num>
  <w:num w:numId="9" w16cid:durableId="691800915">
    <w:abstractNumId w:val="14"/>
    <w:lvlOverride w:ilvl="0">
      <w:startOverride w:val="1"/>
    </w:lvlOverride>
  </w:num>
  <w:num w:numId="10" w16cid:durableId="616181666">
    <w:abstractNumId w:val="14"/>
    <w:lvlOverride w:ilvl="0">
      <w:startOverride w:val="1"/>
    </w:lvlOverride>
  </w:num>
  <w:num w:numId="11" w16cid:durableId="373311323">
    <w:abstractNumId w:val="13"/>
    <w:lvlOverride w:ilvl="0">
      <w:startOverride w:val="1"/>
    </w:lvlOverride>
  </w:num>
  <w:num w:numId="12" w16cid:durableId="637732566">
    <w:abstractNumId w:val="14"/>
    <w:lvlOverride w:ilvl="0">
      <w:startOverride w:val="1"/>
    </w:lvlOverride>
  </w:num>
  <w:num w:numId="13" w16cid:durableId="2039697407">
    <w:abstractNumId w:val="13"/>
    <w:lvlOverride w:ilvl="0">
      <w:startOverride w:val="1"/>
    </w:lvlOverride>
  </w:num>
  <w:num w:numId="14" w16cid:durableId="545722646">
    <w:abstractNumId w:val="14"/>
    <w:lvlOverride w:ilvl="0">
      <w:startOverride w:val="1"/>
    </w:lvlOverride>
  </w:num>
  <w:num w:numId="15" w16cid:durableId="484132649">
    <w:abstractNumId w:val="22"/>
  </w:num>
  <w:num w:numId="16" w16cid:durableId="1099371403">
    <w:abstractNumId w:val="5"/>
  </w:num>
  <w:num w:numId="17" w16cid:durableId="1658147815">
    <w:abstractNumId w:val="19"/>
  </w:num>
  <w:num w:numId="18" w16cid:durableId="293875557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7896167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9173851">
    <w:abstractNumId w:val="12"/>
  </w:num>
  <w:num w:numId="21" w16cid:durableId="227768600">
    <w:abstractNumId w:val="18"/>
  </w:num>
  <w:num w:numId="22" w16cid:durableId="1550533179">
    <w:abstractNumId w:val="13"/>
    <w:lvlOverride w:ilvl="0">
      <w:startOverride w:val="1"/>
    </w:lvlOverride>
  </w:num>
  <w:num w:numId="23" w16cid:durableId="470293430">
    <w:abstractNumId w:val="14"/>
    <w:lvlOverride w:ilvl="0">
      <w:startOverride w:val="1"/>
    </w:lvlOverride>
  </w:num>
  <w:num w:numId="24" w16cid:durableId="1068262590">
    <w:abstractNumId w:val="4"/>
  </w:num>
  <w:num w:numId="25" w16cid:durableId="604657726">
    <w:abstractNumId w:val="0"/>
  </w:num>
  <w:num w:numId="26" w16cid:durableId="461075481">
    <w:abstractNumId w:val="0"/>
    <w:lvlOverride w:ilvl="0">
      <w:startOverride w:val="1"/>
    </w:lvlOverride>
  </w:num>
  <w:num w:numId="27" w16cid:durableId="729958263">
    <w:abstractNumId w:val="17"/>
  </w:num>
  <w:num w:numId="28" w16cid:durableId="1482694388">
    <w:abstractNumId w:val="7"/>
  </w:num>
  <w:num w:numId="29" w16cid:durableId="1055396698">
    <w:abstractNumId w:val="2"/>
  </w:num>
  <w:num w:numId="30" w16cid:durableId="314645301">
    <w:abstractNumId w:val="3"/>
  </w:num>
  <w:num w:numId="31" w16cid:durableId="2006736692">
    <w:abstractNumId w:val="16"/>
  </w:num>
  <w:num w:numId="32" w16cid:durableId="323969303">
    <w:abstractNumId w:val="6"/>
  </w:num>
  <w:num w:numId="33" w16cid:durableId="125591824">
    <w:abstractNumId w:val="10"/>
  </w:num>
  <w:num w:numId="34" w16cid:durableId="1998024040">
    <w:abstractNumId w:val="21"/>
  </w:num>
  <w:num w:numId="35" w16cid:durableId="307365745">
    <w:abstractNumId w:val="11"/>
  </w:num>
  <w:num w:numId="36" w16cid:durableId="17828014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D13E0"/>
    <w:rsid w:val="00001C9B"/>
    <w:rsid w:val="000040DC"/>
    <w:rsid w:val="00006963"/>
    <w:rsid w:val="0001015A"/>
    <w:rsid w:val="00013B01"/>
    <w:rsid w:val="000151EF"/>
    <w:rsid w:val="000239F5"/>
    <w:rsid w:val="00030C0C"/>
    <w:rsid w:val="00033120"/>
    <w:rsid w:val="00035558"/>
    <w:rsid w:val="0004438E"/>
    <w:rsid w:val="0005061D"/>
    <w:rsid w:val="00056380"/>
    <w:rsid w:val="00062364"/>
    <w:rsid w:val="00066301"/>
    <w:rsid w:val="00077C60"/>
    <w:rsid w:val="00081439"/>
    <w:rsid w:val="0008612A"/>
    <w:rsid w:val="00090E18"/>
    <w:rsid w:val="00094EEA"/>
    <w:rsid w:val="00095603"/>
    <w:rsid w:val="000958DE"/>
    <w:rsid w:val="000970D8"/>
    <w:rsid w:val="0009760C"/>
    <w:rsid w:val="00097A29"/>
    <w:rsid w:val="00097C64"/>
    <w:rsid w:val="000A10BC"/>
    <w:rsid w:val="000A17E3"/>
    <w:rsid w:val="000A63D7"/>
    <w:rsid w:val="000A76F7"/>
    <w:rsid w:val="000B0056"/>
    <w:rsid w:val="000B34B2"/>
    <w:rsid w:val="000B73CA"/>
    <w:rsid w:val="000C3317"/>
    <w:rsid w:val="000C3C7B"/>
    <w:rsid w:val="000C7CAD"/>
    <w:rsid w:val="000D0F93"/>
    <w:rsid w:val="000D3956"/>
    <w:rsid w:val="000D5840"/>
    <w:rsid w:val="000D7EE1"/>
    <w:rsid w:val="000E1065"/>
    <w:rsid w:val="000E1C91"/>
    <w:rsid w:val="000E2E7F"/>
    <w:rsid w:val="000E6D7F"/>
    <w:rsid w:val="000F21FB"/>
    <w:rsid w:val="000F6B42"/>
    <w:rsid w:val="001010AB"/>
    <w:rsid w:val="0010136D"/>
    <w:rsid w:val="001028B3"/>
    <w:rsid w:val="001052E0"/>
    <w:rsid w:val="00106416"/>
    <w:rsid w:val="00110481"/>
    <w:rsid w:val="001127C9"/>
    <w:rsid w:val="00112836"/>
    <w:rsid w:val="00115B88"/>
    <w:rsid w:val="00116437"/>
    <w:rsid w:val="001178AD"/>
    <w:rsid w:val="00120366"/>
    <w:rsid w:val="00120472"/>
    <w:rsid w:val="00120F1D"/>
    <w:rsid w:val="00125328"/>
    <w:rsid w:val="00126CDD"/>
    <w:rsid w:val="0013027F"/>
    <w:rsid w:val="00132F6A"/>
    <w:rsid w:val="00133913"/>
    <w:rsid w:val="00134239"/>
    <w:rsid w:val="00136FC8"/>
    <w:rsid w:val="00140221"/>
    <w:rsid w:val="00140295"/>
    <w:rsid w:val="00143B11"/>
    <w:rsid w:val="001526ED"/>
    <w:rsid w:val="0015454C"/>
    <w:rsid w:val="001556B1"/>
    <w:rsid w:val="001569E9"/>
    <w:rsid w:val="001614FB"/>
    <w:rsid w:val="001642FC"/>
    <w:rsid w:val="0016496B"/>
    <w:rsid w:val="00166ADB"/>
    <w:rsid w:val="001743E2"/>
    <w:rsid w:val="001745F8"/>
    <w:rsid w:val="001812D4"/>
    <w:rsid w:val="00181D0F"/>
    <w:rsid w:val="001833BA"/>
    <w:rsid w:val="001838CF"/>
    <w:rsid w:val="00183B8C"/>
    <w:rsid w:val="0018558E"/>
    <w:rsid w:val="00185DBF"/>
    <w:rsid w:val="001868EE"/>
    <w:rsid w:val="00190C19"/>
    <w:rsid w:val="001A3BA4"/>
    <w:rsid w:val="001A6D1F"/>
    <w:rsid w:val="001A7139"/>
    <w:rsid w:val="001B0108"/>
    <w:rsid w:val="001B181C"/>
    <w:rsid w:val="001B1F26"/>
    <w:rsid w:val="001B45D6"/>
    <w:rsid w:val="001D3B02"/>
    <w:rsid w:val="001D5A48"/>
    <w:rsid w:val="001E30F6"/>
    <w:rsid w:val="001E5565"/>
    <w:rsid w:val="001E7C8F"/>
    <w:rsid w:val="001F3026"/>
    <w:rsid w:val="001F3283"/>
    <w:rsid w:val="001F3ABB"/>
    <w:rsid w:val="001F5254"/>
    <w:rsid w:val="001F5A90"/>
    <w:rsid w:val="0020068C"/>
    <w:rsid w:val="002031B4"/>
    <w:rsid w:val="002059F6"/>
    <w:rsid w:val="00205FDB"/>
    <w:rsid w:val="00210B04"/>
    <w:rsid w:val="00212749"/>
    <w:rsid w:val="00217C19"/>
    <w:rsid w:val="00217EE5"/>
    <w:rsid w:val="002225C5"/>
    <w:rsid w:val="0022316F"/>
    <w:rsid w:val="002236C4"/>
    <w:rsid w:val="00235F5C"/>
    <w:rsid w:val="00237BF1"/>
    <w:rsid w:val="00241D28"/>
    <w:rsid w:val="00242CE2"/>
    <w:rsid w:val="00244B47"/>
    <w:rsid w:val="00246D72"/>
    <w:rsid w:val="002475D5"/>
    <w:rsid w:val="00253BD5"/>
    <w:rsid w:val="00254C5F"/>
    <w:rsid w:val="002564EA"/>
    <w:rsid w:val="00257571"/>
    <w:rsid w:val="00257FA3"/>
    <w:rsid w:val="002638E3"/>
    <w:rsid w:val="00264D44"/>
    <w:rsid w:val="00270B18"/>
    <w:rsid w:val="00274544"/>
    <w:rsid w:val="00276434"/>
    <w:rsid w:val="00277B56"/>
    <w:rsid w:val="0029249A"/>
    <w:rsid w:val="00294059"/>
    <w:rsid w:val="002A19F5"/>
    <w:rsid w:val="002A7C38"/>
    <w:rsid w:val="002B360E"/>
    <w:rsid w:val="002B4922"/>
    <w:rsid w:val="002B549E"/>
    <w:rsid w:val="002B6623"/>
    <w:rsid w:val="002B7CC8"/>
    <w:rsid w:val="002C02E8"/>
    <w:rsid w:val="002C158A"/>
    <w:rsid w:val="002C17A6"/>
    <w:rsid w:val="002C22C3"/>
    <w:rsid w:val="002C2D19"/>
    <w:rsid w:val="002C4176"/>
    <w:rsid w:val="002D10FA"/>
    <w:rsid w:val="002D181B"/>
    <w:rsid w:val="002D2304"/>
    <w:rsid w:val="002D47BD"/>
    <w:rsid w:val="002D4C55"/>
    <w:rsid w:val="002E115C"/>
    <w:rsid w:val="002E5B00"/>
    <w:rsid w:val="002E6DED"/>
    <w:rsid w:val="002F5198"/>
    <w:rsid w:val="002F6240"/>
    <w:rsid w:val="002F7D62"/>
    <w:rsid w:val="00300503"/>
    <w:rsid w:val="00300956"/>
    <w:rsid w:val="003132A9"/>
    <w:rsid w:val="00317187"/>
    <w:rsid w:val="0032499A"/>
    <w:rsid w:val="00324B15"/>
    <w:rsid w:val="00330780"/>
    <w:rsid w:val="00330930"/>
    <w:rsid w:val="00332B40"/>
    <w:rsid w:val="003341F7"/>
    <w:rsid w:val="00334423"/>
    <w:rsid w:val="00334FD8"/>
    <w:rsid w:val="003374CE"/>
    <w:rsid w:val="00347FEC"/>
    <w:rsid w:val="00353BB7"/>
    <w:rsid w:val="00353BDA"/>
    <w:rsid w:val="003559A8"/>
    <w:rsid w:val="00356F45"/>
    <w:rsid w:val="003611DE"/>
    <w:rsid w:val="003640F8"/>
    <w:rsid w:val="00366B74"/>
    <w:rsid w:val="00371644"/>
    <w:rsid w:val="00377DBC"/>
    <w:rsid w:val="00380293"/>
    <w:rsid w:val="0038407B"/>
    <w:rsid w:val="0038480D"/>
    <w:rsid w:val="00386CD8"/>
    <w:rsid w:val="00390299"/>
    <w:rsid w:val="003904BE"/>
    <w:rsid w:val="0039568F"/>
    <w:rsid w:val="00395F26"/>
    <w:rsid w:val="003A07C3"/>
    <w:rsid w:val="003A3810"/>
    <w:rsid w:val="003A5E99"/>
    <w:rsid w:val="003A5F22"/>
    <w:rsid w:val="003A710A"/>
    <w:rsid w:val="003A7C8C"/>
    <w:rsid w:val="003B1DEE"/>
    <w:rsid w:val="003B2A84"/>
    <w:rsid w:val="003B5A57"/>
    <w:rsid w:val="003B659E"/>
    <w:rsid w:val="003C275E"/>
    <w:rsid w:val="003D27EC"/>
    <w:rsid w:val="003E13AD"/>
    <w:rsid w:val="003E4896"/>
    <w:rsid w:val="003E58DF"/>
    <w:rsid w:val="003E76DA"/>
    <w:rsid w:val="003F0769"/>
    <w:rsid w:val="003F0B14"/>
    <w:rsid w:val="003F6034"/>
    <w:rsid w:val="003F7114"/>
    <w:rsid w:val="00400681"/>
    <w:rsid w:val="00401393"/>
    <w:rsid w:val="00404C4C"/>
    <w:rsid w:val="00404CF0"/>
    <w:rsid w:val="00406228"/>
    <w:rsid w:val="00410227"/>
    <w:rsid w:val="00412514"/>
    <w:rsid w:val="0041423F"/>
    <w:rsid w:val="00414F81"/>
    <w:rsid w:val="004154E2"/>
    <w:rsid w:val="00416127"/>
    <w:rsid w:val="004207C7"/>
    <w:rsid w:val="00425E67"/>
    <w:rsid w:val="00426F25"/>
    <w:rsid w:val="004309E0"/>
    <w:rsid w:val="00436345"/>
    <w:rsid w:val="00436A0F"/>
    <w:rsid w:val="00437150"/>
    <w:rsid w:val="0043750A"/>
    <w:rsid w:val="004377EF"/>
    <w:rsid w:val="00440B47"/>
    <w:rsid w:val="00443E3C"/>
    <w:rsid w:val="00454F1C"/>
    <w:rsid w:val="00455A50"/>
    <w:rsid w:val="004600E7"/>
    <w:rsid w:val="0046011F"/>
    <w:rsid w:val="00465D72"/>
    <w:rsid w:val="0046736B"/>
    <w:rsid w:val="004677C3"/>
    <w:rsid w:val="00470FF0"/>
    <w:rsid w:val="0047146B"/>
    <w:rsid w:val="004732E9"/>
    <w:rsid w:val="00474CF3"/>
    <w:rsid w:val="00481D91"/>
    <w:rsid w:val="004854BB"/>
    <w:rsid w:val="00486255"/>
    <w:rsid w:val="00487D85"/>
    <w:rsid w:val="00496606"/>
    <w:rsid w:val="004A2EA5"/>
    <w:rsid w:val="004A32C4"/>
    <w:rsid w:val="004A3B81"/>
    <w:rsid w:val="004A6286"/>
    <w:rsid w:val="004B3B56"/>
    <w:rsid w:val="004B4CD4"/>
    <w:rsid w:val="004C06B7"/>
    <w:rsid w:val="004C4E82"/>
    <w:rsid w:val="004C7772"/>
    <w:rsid w:val="004D0E20"/>
    <w:rsid w:val="004D13E0"/>
    <w:rsid w:val="004D4592"/>
    <w:rsid w:val="004D6202"/>
    <w:rsid w:val="004D7DEE"/>
    <w:rsid w:val="004E09DC"/>
    <w:rsid w:val="004E0E4C"/>
    <w:rsid w:val="004E33A0"/>
    <w:rsid w:val="004E5E66"/>
    <w:rsid w:val="004E6F01"/>
    <w:rsid w:val="004E7ADB"/>
    <w:rsid w:val="004F2EF7"/>
    <w:rsid w:val="004F41F3"/>
    <w:rsid w:val="004F6319"/>
    <w:rsid w:val="00501352"/>
    <w:rsid w:val="00503B4D"/>
    <w:rsid w:val="00504EE9"/>
    <w:rsid w:val="0050534C"/>
    <w:rsid w:val="005054FE"/>
    <w:rsid w:val="00517707"/>
    <w:rsid w:val="00521576"/>
    <w:rsid w:val="005221EE"/>
    <w:rsid w:val="0052352C"/>
    <w:rsid w:val="005250E6"/>
    <w:rsid w:val="00526A3A"/>
    <w:rsid w:val="00534681"/>
    <w:rsid w:val="00537E24"/>
    <w:rsid w:val="005419D4"/>
    <w:rsid w:val="00542D23"/>
    <w:rsid w:val="00542D44"/>
    <w:rsid w:val="00543331"/>
    <w:rsid w:val="0054442C"/>
    <w:rsid w:val="00544D31"/>
    <w:rsid w:val="00550285"/>
    <w:rsid w:val="00554848"/>
    <w:rsid w:val="00557EC8"/>
    <w:rsid w:val="005609FB"/>
    <w:rsid w:val="00562492"/>
    <w:rsid w:val="005633AA"/>
    <w:rsid w:val="0056396E"/>
    <w:rsid w:val="00563F1F"/>
    <w:rsid w:val="005642F6"/>
    <w:rsid w:val="005649F3"/>
    <w:rsid w:val="0056757D"/>
    <w:rsid w:val="00572A20"/>
    <w:rsid w:val="00573E64"/>
    <w:rsid w:val="00574825"/>
    <w:rsid w:val="00574DA9"/>
    <w:rsid w:val="005836F8"/>
    <w:rsid w:val="00590F2A"/>
    <w:rsid w:val="0059126C"/>
    <w:rsid w:val="005918FA"/>
    <w:rsid w:val="00592A86"/>
    <w:rsid w:val="005943D4"/>
    <w:rsid w:val="005A21BA"/>
    <w:rsid w:val="005A574A"/>
    <w:rsid w:val="005A7738"/>
    <w:rsid w:val="005B12D9"/>
    <w:rsid w:val="005B1BD5"/>
    <w:rsid w:val="005B4707"/>
    <w:rsid w:val="005B4801"/>
    <w:rsid w:val="005C02DA"/>
    <w:rsid w:val="005C23A2"/>
    <w:rsid w:val="005C23A4"/>
    <w:rsid w:val="005C2A6A"/>
    <w:rsid w:val="005D1CDF"/>
    <w:rsid w:val="005D1FC1"/>
    <w:rsid w:val="005D2BB7"/>
    <w:rsid w:val="005D3CE0"/>
    <w:rsid w:val="005D5A1E"/>
    <w:rsid w:val="005D5F10"/>
    <w:rsid w:val="005D605F"/>
    <w:rsid w:val="005D61CD"/>
    <w:rsid w:val="005D74B8"/>
    <w:rsid w:val="005D7DC0"/>
    <w:rsid w:val="005E61A8"/>
    <w:rsid w:val="005E709A"/>
    <w:rsid w:val="005E741D"/>
    <w:rsid w:val="005F05B5"/>
    <w:rsid w:val="005F498E"/>
    <w:rsid w:val="005F4FCE"/>
    <w:rsid w:val="005F55C7"/>
    <w:rsid w:val="005F6419"/>
    <w:rsid w:val="00602904"/>
    <w:rsid w:val="0060348B"/>
    <w:rsid w:val="00605259"/>
    <w:rsid w:val="0060543D"/>
    <w:rsid w:val="0060707F"/>
    <w:rsid w:val="006104DD"/>
    <w:rsid w:val="00611E4A"/>
    <w:rsid w:val="00612A6B"/>
    <w:rsid w:val="006130B5"/>
    <w:rsid w:val="00613DFA"/>
    <w:rsid w:val="006163AC"/>
    <w:rsid w:val="00617400"/>
    <w:rsid w:val="006206C0"/>
    <w:rsid w:val="0062076E"/>
    <w:rsid w:val="00621CB9"/>
    <w:rsid w:val="006222E4"/>
    <w:rsid w:val="00632D29"/>
    <w:rsid w:val="00636CAC"/>
    <w:rsid w:val="00637F58"/>
    <w:rsid w:val="00643F16"/>
    <w:rsid w:val="00644255"/>
    <w:rsid w:val="00644C07"/>
    <w:rsid w:val="00646034"/>
    <w:rsid w:val="006467CC"/>
    <w:rsid w:val="0065152F"/>
    <w:rsid w:val="0065317A"/>
    <w:rsid w:val="006539FD"/>
    <w:rsid w:val="00653B7A"/>
    <w:rsid w:val="00655634"/>
    <w:rsid w:val="0065699C"/>
    <w:rsid w:val="00657A92"/>
    <w:rsid w:val="006621ED"/>
    <w:rsid w:val="00664034"/>
    <w:rsid w:val="00664950"/>
    <w:rsid w:val="00667B0B"/>
    <w:rsid w:val="00670982"/>
    <w:rsid w:val="00671299"/>
    <w:rsid w:val="00682AA3"/>
    <w:rsid w:val="00683220"/>
    <w:rsid w:val="00686E8C"/>
    <w:rsid w:val="00687CDF"/>
    <w:rsid w:val="00687FA0"/>
    <w:rsid w:val="0069130F"/>
    <w:rsid w:val="00692F72"/>
    <w:rsid w:val="00695144"/>
    <w:rsid w:val="0069606E"/>
    <w:rsid w:val="00697B82"/>
    <w:rsid w:val="006A3C11"/>
    <w:rsid w:val="006A64C9"/>
    <w:rsid w:val="006B0FDD"/>
    <w:rsid w:val="006B333F"/>
    <w:rsid w:val="006B3E65"/>
    <w:rsid w:val="006B42CA"/>
    <w:rsid w:val="006B4A20"/>
    <w:rsid w:val="006B509A"/>
    <w:rsid w:val="006B544F"/>
    <w:rsid w:val="006B6BA5"/>
    <w:rsid w:val="006B7010"/>
    <w:rsid w:val="006B7918"/>
    <w:rsid w:val="006C002C"/>
    <w:rsid w:val="006C1E0B"/>
    <w:rsid w:val="006C25B9"/>
    <w:rsid w:val="006C3095"/>
    <w:rsid w:val="006D28FD"/>
    <w:rsid w:val="006D707A"/>
    <w:rsid w:val="006E0357"/>
    <w:rsid w:val="006E1151"/>
    <w:rsid w:val="006E6311"/>
    <w:rsid w:val="006E6A5F"/>
    <w:rsid w:val="006E7EDA"/>
    <w:rsid w:val="006F0289"/>
    <w:rsid w:val="006F0EF6"/>
    <w:rsid w:val="006F2DB3"/>
    <w:rsid w:val="006F3CE9"/>
    <w:rsid w:val="006F5527"/>
    <w:rsid w:val="006F7D11"/>
    <w:rsid w:val="00700269"/>
    <w:rsid w:val="00701345"/>
    <w:rsid w:val="00703DBF"/>
    <w:rsid w:val="0071005E"/>
    <w:rsid w:val="007145FF"/>
    <w:rsid w:val="00715B2A"/>
    <w:rsid w:val="00720BFB"/>
    <w:rsid w:val="00721775"/>
    <w:rsid w:val="00723D69"/>
    <w:rsid w:val="007270EB"/>
    <w:rsid w:val="0072772C"/>
    <w:rsid w:val="0073306A"/>
    <w:rsid w:val="00735CE3"/>
    <w:rsid w:val="00744249"/>
    <w:rsid w:val="007450F1"/>
    <w:rsid w:val="00745EA4"/>
    <w:rsid w:val="00751515"/>
    <w:rsid w:val="007546C7"/>
    <w:rsid w:val="0075695A"/>
    <w:rsid w:val="007626B7"/>
    <w:rsid w:val="007646AE"/>
    <w:rsid w:val="00764D5E"/>
    <w:rsid w:val="00766E1D"/>
    <w:rsid w:val="00767B7A"/>
    <w:rsid w:val="007707AE"/>
    <w:rsid w:val="00771A26"/>
    <w:rsid w:val="00772E0B"/>
    <w:rsid w:val="007777F4"/>
    <w:rsid w:val="00777C3B"/>
    <w:rsid w:val="0078212B"/>
    <w:rsid w:val="00783B81"/>
    <w:rsid w:val="00783E95"/>
    <w:rsid w:val="00784DF6"/>
    <w:rsid w:val="00785232"/>
    <w:rsid w:val="0079169D"/>
    <w:rsid w:val="0079291E"/>
    <w:rsid w:val="007941C4"/>
    <w:rsid w:val="00797445"/>
    <w:rsid w:val="0079775C"/>
    <w:rsid w:val="007A4FEF"/>
    <w:rsid w:val="007A7A58"/>
    <w:rsid w:val="007B186C"/>
    <w:rsid w:val="007C13B4"/>
    <w:rsid w:val="007C1696"/>
    <w:rsid w:val="007C3ED0"/>
    <w:rsid w:val="007C5971"/>
    <w:rsid w:val="007C757B"/>
    <w:rsid w:val="007D2FF3"/>
    <w:rsid w:val="007D3339"/>
    <w:rsid w:val="007D5285"/>
    <w:rsid w:val="007D674E"/>
    <w:rsid w:val="007E189E"/>
    <w:rsid w:val="007E55F3"/>
    <w:rsid w:val="007E599A"/>
    <w:rsid w:val="007F54B9"/>
    <w:rsid w:val="007F5FA4"/>
    <w:rsid w:val="007F6E1B"/>
    <w:rsid w:val="007F79E2"/>
    <w:rsid w:val="008005E7"/>
    <w:rsid w:val="00806A76"/>
    <w:rsid w:val="00811C9D"/>
    <w:rsid w:val="008121DC"/>
    <w:rsid w:val="008128B8"/>
    <w:rsid w:val="008156AC"/>
    <w:rsid w:val="00816BB3"/>
    <w:rsid w:val="00816C80"/>
    <w:rsid w:val="00820192"/>
    <w:rsid w:val="00820F96"/>
    <w:rsid w:val="00824C58"/>
    <w:rsid w:val="00824F43"/>
    <w:rsid w:val="0082698E"/>
    <w:rsid w:val="00827FC0"/>
    <w:rsid w:val="00831A46"/>
    <w:rsid w:val="00832556"/>
    <w:rsid w:val="0084042E"/>
    <w:rsid w:val="00840D97"/>
    <w:rsid w:val="00841BCD"/>
    <w:rsid w:val="00843031"/>
    <w:rsid w:val="00844766"/>
    <w:rsid w:val="008473E4"/>
    <w:rsid w:val="0084751A"/>
    <w:rsid w:val="0084781D"/>
    <w:rsid w:val="00851A8E"/>
    <w:rsid w:val="00852644"/>
    <w:rsid w:val="0085365B"/>
    <w:rsid w:val="008558B3"/>
    <w:rsid w:val="00857165"/>
    <w:rsid w:val="00860B87"/>
    <w:rsid w:val="00861DD4"/>
    <w:rsid w:val="00862BBD"/>
    <w:rsid w:val="008630A7"/>
    <w:rsid w:val="00864631"/>
    <w:rsid w:val="00867F49"/>
    <w:rsid w:val="008707AD"/>
    <w:rsid w:val="00872BEB"/>
    <w:rsid w:val="00875F10"/>
    <w:rsid w:val="0087622C"/>
    <w:rsid w:val="008762B7"/>
    <w:rsid w:val="00877516"/>
    <w:rsid w:val="00882215"/>
    <w:rsid w:val="008826C1"/>
    <w:rsid w:val="008833B8"/>
    <w:rsid w:val="00883DFD"/>
    <w:rsid w:val="00886330"/>
    <w:rsid w:val="00890138"/>
    <w:rsid w:val="008921AC"/>
    <w:rsid w:val="00892B3B"/>
    <w:rsid w:val="00896136"/>
    <w:rsid w:val="008A0A69"/>
    <w:rsid w:val="008A1BF7"/>
    <w:rsid w:val="008A5329"/>
    <w:rsid w:val="008A5B0E"/>
    <w:rsid w:val="008A5D2A"/>
    <w:rsid w:val="008A6CD8"/>
    <w:rsid w:val="008B0961"/>
    <w:rsid w:val="008C4E67"/>
    <w:rsid w:val="008D2CCA"/>
    <w:rsid w:val="008D5EE7"/>
    <w:rsid w:val="008D63AF"/>
    <w:rsid w:val="008D6401"/>
    <w:rsid w:val="008D7810"/>
    <w:rsid w:val="008E2EC7"/>
    <w:rsid w:val="008F1AB4"/>
    <w:rsid w:val="008F21AD"/>
    <w:rsid w:val="008F450C"/>
    <w:rsid w:val="0090091A"/>
    <w:rsid w:val="009039A4"/>
    <w:rsid w:val="009042BD"/>
    <w:rsid w:val="0090584A"/>
    <w:rsid w:val="00905955"/>
    <w:rsid w:val="00906B60"/>
    <w:rsid w:val="009072C2"/>
    <w:rsid w:val="0091497C"/>
    <w:rsid w:val="00925489"/>
    <w:rsid w:val="009326CA"/>
    <w:rsid w:val="00935867"/>
    <w:rsid w:val="00936159"/>
    <w:rsid w:val="00940B48"/>
    <w:rsid w:val="0094237F"/>
    <w:rsid w:val="00942C4C"/>
    <w:rsid w:val="0094779C"/>
    <w:rsid w:val="00951CCF"/>
    <w:rsid w:val="00952B07"/>
    <w:rsid w:val="009623F8"/>
    <w:rsid w:val="009626EC"/>
    <w:rsid w:val="0096703C"/>
    <w:rsid w:val="00967BB3"/>
    <w:rsid w:val="009768BE"/>
    <w:rsid w:val="00977E1D"/>
    <w:rsid w:val="00980EEF"/>
    <w:rsid w:val="00981CE0"/>
    <w:rsid w:val="00981D86"/>
    <w:rsid w:val="00982DEC"/>
    <w:rsid w:val="00991FA3"/>
    <w:rsid w:val="00995C19"/>
    <w:rsid w:val="009966F7"/>
    <w:rsid w:val="00997ABB"/>
    <w:rsid w:val="009A426F"/>
    <w:rsid w:val="009A54A3"/>
    <w:rsid w:val="009A5B9C"/>
    <w:rsid w:val="009B0573"/>
    <w:rsid w:val="009B083E"/>
    <w:rsid w:val="009B0C28"/>
    <w:rsid w:val="009B2E66"/>
    <w:rsid w:val="009B62A7"/>
    <w:rsid w:val="009B7B4B"/>
    <w:rsid w:val="009B7C21"/>
    <w:rsid w:val="009C0078"/>
    <w:rsid w:val="009C2B19"/>
    <w:rsid w:val="009C627D"/>
    <w:rsid w:val="009D1CE8"/>
    <w:rsid w:val="009D5753"/>
    <w:rsid w:val="009E583B"/>
    <w:rsid w:val="00A02E2E"/>
    <w:rsid w:val="00A03C7C"/>
    <w:rsid w:val="00A04992"/>
    <w:rsid w:val="00A129C8"/>
    <w:rsid w:val="00A12B02"/>
    <w:rsid w:val="00A147AA"/>
    <w:rsid w:val="00A176C2"/>
    <w:rsid w:val="00A21D71"/>
    <w:rsid w:val="00A22479"/>
    <w:rsid w:val="00A22B78"/>
    <w:rsid w:val="00A25170"/>
    <w:rsid w:val="00A25AE5"/>
    <w:rsid w:val="00A30875"/>
    <w:rsid w:val="00A30B7A"/>
    <w:rsid w:val="00A33A8A"/>
    <w:rsid w:val="00A35E99"/>
    <w:rsid w:val="00A37002"/>
    <w:rsid w:val="00A421B8"/>
    <w:rsid w:val="00A42E4F"/>
    <w:rsid w:val="00A4355E"/>
    <w:rsid w:val="00A44265"/>
    <w:rsid w:val="00A46D4F"/>
    <w:rsid w:val="00A4713A"/>
    <w:rsid w:val="00A60724"/>
    <w:rsid w:val="00A64BFB"/>
    <w:rsid w:val="00A64D97"/>
    <w:rsid w:val="00A70F32"/>
    <w:rsid w:val="00A80A1F"/>
    <w:rsid w:val="00A833C7"/>
    <w:rsid w:val="00A83F6E"/>
    <w:rsid w:val="00A92BCD"/>
    <w:rsid w:val="00A970F4"/>
    <w:rsid w:val="00AA09E5"/>
    <w:rsid w:val="00AA1B0E"/>
    <w:rsid w:val="00AA1F72"/>
    <w:rsid w:val="00AA46A5"/>
    <w:rsid w:val="00AA47B6"/>
    <w:rsid w:val="00AB065A"/>
    <w:rsid w:val="00AB07B5"/>
    <w:rsid w:val="00AB4F02"/>
    <w:rsid w:val="00AC163B"/>
    <w:rsid w:val="00AC35DB"/>
    <w:rsid w:val="00AC563A"/>
    <w:rsid w:val="00AC5CA7"/>
    <w:rsid w:val="00AC6058"/>
    <w:rsid w:val="00AD2D34"/>
    <w:rsid w:val="00AD5A51"/>
    <w:rsid w:val="00AD7DFE"/>
    <w:rsid w:val="00AE2BA5"/>
    <w:rsid w:val="00AE56B1"/>
    <w:rsid w:val="00AE6D09"/>
    <w:rsid w:val="00AE792F"/>
    <w:rsid w:val="00AE7B34"/>
    <w:rsid w:val="00AF4A1E"/>
    <w:rsid w:val="00AF6BB4"/>
    <w:rsid w:val="00AF7A7C"/>
    <w:rsid w:val="00AF7EB0"/>
    <w:rsid w:val="00B052F5"/>
    <w:rsid w:val="00B05C62"/>
    <w:rsid w:val="00B07E56"/>
    <w:rsid w:val="00B14DAD"/>
    <w:rsid w:val="00B174EE"/>
    <w:rsid w:val="00B216F6"/>
    <w:rsid w:val="00B25570"/>
    <w:rsid w:val="00B312BE"/>
    <w:rsid w:val="00B33921"/>
    <w:rsid w:val="00B3472A"/>
    <w:rsid w:val="00B408B6"/>
    <w:rsid w:val="00B4111C"/>
    <w:rsid w:val="00B4738F"/>
    <w:rsid w:val="00B47808"/>
    <w:rsid w:val="00B51543"/>
    <w:rsid w:val="00B542DA"/>
    <w:rsid w:val="00B61FC9"/>
    <w:rsid w:val="00B646A1"/>
    <w:rsid w:val="00B64726"/>
    <w:rsid w:val="00B650C3"/>
    <w:rsid w:val="00B70B99"/>
    <w:rsid w:val="00B7324D"/>
    <w:rsid w:val="00B73862"/>
    <w:rsid w:val="00B73F43"/>
    <w:rsid w:val="00B77F89"/>
    <w:rsid w:val="00B80E09"/>
    <w:rsid w:val="00B861A0"/>
    <w:rsid w:val="00B94353"/>
    <w:rsid w:val="00B97210"/>
    <w:rsid w:val="00BA1555"/>
    <w:rsid w:val="00BA19C5"/>
    <w:rsid w:val="00BA26F5"/>
    <w:rsid w:val="00BA4553"/>
    <w:rsid w:val="00BA51B9"/>
    <w:rsid w:val="00BA6B66"/>
    <w:rsid w:val="00BA6E48"/>
    <w:rsid w:val="00BA794F"/>
    <w:rsid w:val="00BB1141"/>
    <w:rsid w:val="00BB24FB"/>
    <w:rsid w:val="00BB3FB6"/>
    <w:rsid w:val="00BC1E2C"/>
    <w:rsid w:val="00BC3DCA"/>
    <w:rsid w:val="00BD3F8E"/>
    <w:rsid w:val="00BE0AF6"/>
    <w:rsid w:val="00BE1F03"/>
    <w:rsid w:val="00BE58A7"/>
    <w:rsid w:val="00BE5A0B"/>
    <w:rsid w:val="00BE62DB"/>
    <w:rsid w:val="00BF0037"/>
    <w:rsid w:val="00BF2218"/>
    <w:rsid w:val="00BF71F9"/>
    <w:rsid w:val="00C0189B"/>
    <w:rsid w:val="00C0426B"/>
    <w:rsid w:val="00C045DF"/>
    <w:rsid w:val="00C0539F"/>
    <w:rsid w:val="00C12424"/>
    <w:rsid w:val="00C13656"/>
    <w:rsid w:val="00C22E9C"/>
    <w:rsid w:val="00C26D43"/>
    <w:rsid w:val="00C33CD7"/>
    <w:rsid w:val="00C34450"/>
    <w:rsid w:val="00C366E9"/>
    <w:rsid w:val="00C37A7A"/>
    <w:rsid w:val="00C37C2D"/>
    <w:rsid w:val="00C42155"/>
    <w:rsid w:val="00C46548"/>
    <w:rsid w:val="00C47864"/>
    <w:rsid w:val="00C5495F"/>
    <w:rsid w:val="00C56242"/>
    <w:rsid w:val="00C574D5"/>
    <w:rsid w:val="00C60DDA"/>
    <w:rsid w:val="00C62ED0"/>
    <w:rsid w:val="00C67811"/>
    <w:rsid w:val="00C73F32"/>
    <w:rsid w:val="00C74A44"/>
    <w:rsid w:val="00C81ABE"/>
    <w:rsid w:val="00C83E18"/>
    <w:rsid w:val="00C84281"/>
    <w:rsid w:val="00C87462"/>
    <w:rsid w:val="00C87DAB"/>
    <w:rsid w:val="00C95E41"/>
    <w:rsid w:val="00CA0D5F"/>
    <w:rsid w:val="00CA0EF9"/>
    <w:rsid w:val="00CA180C"/>
    <w:rsid w:val="00CA28F7"/>
    <w:rsid w:val="00CA4270"/>
    <w:rsid w:val="00CA5630"/>
    <w:rsid w:val="00CA7112"/>
    <w:rsid w:val="00CB22B2"/>
    <w:rsid w:val="00CB4277"/>
    <w:rsid w:val="00CB518D"/>
    <w:rsid w:val="00CC1AFE"/>
    <w:rsid w:val="00CC2064"/>
    <w:rsid w:val="00CC3EE2"/>
    <w:rsid w:val="00CC464D"/>
    <w:rsid w:val="00CC5C4C"/>
    <w:rsid w:val="00CC5F75"/>
    <w:rsid w:val="00CC76C3"/>
    <w:rsid w:val="00CD629A"/>
    <w:rsid w:val="00CD6891"/>
    <w:rsid w:val="00CD7492"/>
    <w:rsid w:val="00CE00F6"/>
    <w:rsid w:val="00CE3A6B"/>
    <w:rsid w:val="00CF03A1"/>
    <w:rsid w:val="00CF0556"/>
    <w:rsid w:val="00CF1341"/>
    <w:rsid w:val="00CF23C4"/>
    <w:rsid w:val="00CF4ED6"/>
    <w:rsid w:val="00D00107"/>
    <w:rsid w:val="00D00211"/>
    <w:rsid w:val="00D01B3A"/>
    <w:rsid w:val="00D0429E"/>
    <w:rsid w:val="00D06309"/>
    <w:rsid w:val="00D11142"/>
    <w:rsid w:val="00D14A33"/>
    <w:rsid w:val="00D150C5"/>
    <w:rsid w:val="00D168D3"/>
    <w:rsid w:val="00D178E5"/>
    <w:rsid w:val="00D179B8"/>
    <w:rsid w:val="00D20DE6"/>
    <w:rsid w:val="00D22911"/>
    <w:rsid w:val="00D22F13"/>
    <w:rsid w:val="00D25763"/>
    <w:rsid w:val="00D276EB"/>
    <w:rsid w:val="00D324BB"/>
    <w:rsid w:val="00D351EA"/>
    <w:rsid w:val="00D3672C"/>
    <w:rsid w:val="00D36BA1"/>
    <w:rsid w:val="00D37A5F"/>
    <w:rsid w:val="00D40288"/>
    <w:rsid w:val="00D403C5"/>
    <w:rsid w:val="00D41EA4"/>
    <w:rsid w:val="00D42848"/>
    <w:rsid w:val="00D43403"/>
    <w:rsid w:val="00D44465"/>
    <w:rsid w:val="00D4625E"/>
    <w:rsid w:val="00D5270B"/>
    <w:rsid w:val="00D5730B"/>
    <w:rsid w:val="00D62E71"/>
    <w:rsid w:val="00D6430D"/>
    <w:rsid w:val="00D66188"/>
    <w:rsid w:val="00D7179A"/>
    <w:rsid w:val="00D731F6"/>
    <w:rsid w:val="00D740CA"/>
    <w:rsid w:val="00D75581"/>
    <w:rsid w:val="00D76EB2"/>
    <w:rsid w:val="00D83456"/>
    <w:rsid w:val="00D85728"/>
    <w:rsid w:val="00D87BC7"/>
    <w:rsid w:val="00D90A0C"/>
    <w:rsid w:val="00D93D67"/>
    <w:rsid w:val="00D944E8"/>
    <w:rsid w:val="00D95481"/>
    <w:rsid w:val="00D96DB3"/>
    <w:rsid w:val="00DA055B"/>
    <w:rsid w:val="00DA07E6"/>
    <w:rsid w:val="00DB00EB"/>
    <w:rsid w:val="00DB052B"/>
    <w:rsid w:val="00DB1CEA"/>
    <w:rsid w:val="00DB6C0E"/>
    <w:rsid w:val="00DB6FA1"/>
    <w:rsid w:val="00DC7A13"/>
    <w:rsid w:val="00DD719E"/>
    <w:rsid w:val="00DE0EB0"/>
    <w:rsid w:val="00DE10A5"/>
    <w:rsid w:val="00DE14BF"/>
    <w:rsid w:val="00DE42C3"/>
    <w:rsid w:val="00DE5390"/>
    <w:rsid w:val="00DE6016"/>
    <w:rsid w:val="00DE6A90"/>
    <w:rsid w:val="00DF2997"/>
    <w:rsid w:val="00DF7BBC"/>
    <w:rsid w:val="00E10BC4"/>
    <w:rsid w:val="00E11C25"/>
    <w:rsid w:val="00E14021"/>
    <w:rsid w:val="00E1415D"/>
    <w:rsid w:val="00E20EAB"/>
    <w:rsid w:val="00E27CB0"/>
    <w:rsid w:val="00E31E58"/>
    <w:rsid w:val="00E323E9"/>
    <w:rsid w:val="00E330D1"/>
    <w:rsid w:val="00E335AB"/>
    <w:rsid w:val="00E34018"/>
    <w:rsid w:val="00E418D0"/>
    <w:rsid w:val="00E4249C"/>
    <w:rsid w:val="00E42FAE"/>
    <w:rsid w:val="00E437D2"/>
    <w:rsid w:val="00E43ECE"/>
    <w:rsid w:val="00E45833"/>
    <w:rsid w:val="00E54571"/>
    <w:rsid w:val="00E55751"/>
    <w:rsid w:val="00E55E67"/>
    <w:rsid w:val="00E563B2"/>
    <w:rsid w:val="00E5782C"/>
    <w:rsid w:val="00E622EB"/>
    <w:rsid w:val="00E62F48"/>
    <w:rsid w:val="00E66719"/>
    <w:rsid w:val="00E72775"/>
    <w:rsid w:val="00E74F47"/>
    <w:rsid w:val="00E81750"/>
    <w:rsid w:val="00E82395"/>
    <w:rsid w:val="00E82548"/>
    <w:rsid w:val="00E82B30"/>
    <w:rsid w:val="00EA2311"/>
    <w:rsid w:val="00EA492B"/>
    <w:rsid w:val="00EA77A0"/>
    <w:rsid w:val="00EB249D"/>
    <w:rsid w:val="00EB54E2"/>
    <w:rsid w:val="00EB6415"/>
    <w:rsid w:val="00EC3A04"/>
    <w:rsid w:val="00EC6038"/>
    <w:rsid w:val="00EC60B0"/>
    <w:rsid w:val="00EC7BC3"/>
    <w:rsid w:val="00ED0DC8"/>
    <w:rsid w:val="00ED2101"/>
    <w:rsid w:val="00ED7600"/>
    <w:rsid w:val="00EE0460"/>
    <w:rsid w:val="00EE37CE"/>
    <w:rsid w:val="00EE52CA"/>
    <w:rsid w:val="00EE625C"/>
    <w:rsid w:val="00EE7987"/>
    <w:rsid w:val="00EF25C1"/>
    <w:rsid w:val="00EF3D31"/>
    <w:rsid w:val="00EF6014"/>
    <w:rsid w:val="00EF6073"/>
    <w:rsid w:val="00EF698B"/>
    <w:rsid w:val="00F0001A"/>
    <w:rsid w:val="00F007CA"/>
    <w:rsid w:val="00F0158E"/>
    <w:rsid w:val="00F01FFB"/>
    <w:rsid w:val="00F10692"/>
    <w:rsid w:val="00F1362C"/>
    <w:rsid w:val="00F13957"/>
    <w:rsid w:val="00F151CB"/>
    <w:rsid w:val="00F16410"/>
    <w:rsid w:val="00F17B8E"/>
    <w:rsid w:val="00F21795"/>
    <w:rsid w:val="00F218CB"/>
    <w:rsid w:val="00F2336A"/>
    <w:rsid w:val="00F23B59"/>
    <w:rsid w:val="00F25A97"/>
    <w:rsid w:val="00F33F63"/>
    <w:rsid w:val="00F36DF8"/>
    <w:rsid w:val="00F414F1"/>
    <w:rsid w:val="00F41F3B"/>
    <w:rsid w:val="00F43AE6"/>
    <w:rsid w:val="00F4618B"/>
    <w:rsid w:val="00F508B8"/>
    <w:rsid w:val="00F51E90"/>
    <w:rsid w:val="00F536BA"/>
    <w:rsid w:val="00F54310"/>
    <w:rsid w:val="00F62C85"/>
    <w:rsid w:val="00F62F16"/>
    <w:rsid w:val="00F653B2"/>
    <w:rsid w:val="00F65682"/>
    <w:rsid w:val="00F67DF0"/>
    <w:rsid w:val="00F718F7"/>
    <w:rsid w:val="00F72CB1"/>
    <w:rsid w:val="00F7434F"/>
    <w:rsid w:val="00F808FC"/>
    <w:rsid w:val="00F8215E"/>
    <w:rsid w:val="00F824F5"/>
    <w:rsid w:val="00F82967"/>
    <w:rsid w:val="00F83B0B"/>
    <w:rsid w:val="00F86B17"/>
    <w:rsid w:val="00F92A36"/>
    <w:rsid w:val="00F9374D"/>
    <w:rsid w:val="00FA17FD"/>
    <w:rsid w:val="00FA3B52"/>
    <w:rsid w:val="00FA42AB"/>
    <w:rsid w:val="00FB2227"/>
    <w:rsid w:val="00FB273B"/>
    <w:rsid w:val="00FC0BD9"/>
    <w:rsid w:val="00FC29B9"/>
    <w:rsid w:val="00FC5F80"/>
    <w:rsid w:val="00FC6FD3"/>
    <w:rsid w:val="00FC7E78"/>
    <w:rsid w:val="00FD120A"/>
    <w:rsid w:val="00FD7493"/>
    <w:rsid w:val="00FD76BC"/>
    <w:rsid w:val="00FE1AD4"/>
    <w:rsid w:val="00FE305C"/>
    <w:rsid w:val="00FE6063"/>
    <w:rsid w:val="00FE60B7"/>
    <w:rsid w:val="00FE78D0"/>
    <w:rsid w:val="00FE7DC4"/>
    <w:rsid w:val="00FF0301"/>
    <w:rsid w:val="00FF2E92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86392"/>
  <w15:chartTrackingRefBased/>
  <w15:docId w15:val="{C8B21866-5AF0-462B-9381-3C4CA52D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3D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20F1D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paragraph">
    <w:name w:val="paragraph"/>
    <w:basedOn w:val="Normal"/>
    <w:rsid w:val="00A3087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A30875"/>
  </w:style>
  <w:style w:type="character" w:customStyle="1" w:styleId="eop">
    <w:name w:val="eop"/>
    <w:basedOn w:val="DefaultParagraphFont"/>
    <w:rsid w:val="00A30875"/>
  </w:style>
  <w:style w:type="paragraph" w:styleId="NormalWeb">
    <w:name w:val="Normal (Web)"/>
    <w:basedOn w:val="Normal"/>
    <w:uiPriority w:val="99"/>
    <w:semiHidden/>
    <w:unhideWhenUsed/>
    <w:rsid w:val="00EA77A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09760C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09760C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</w:rPr>
  </w:style>
  <w:style w:type="character" w:styleId="BookTitle">
    <w:name w:val="Book Title"/>
    <w:basedOn w:val="DefaultParagraphFont"/>
    <w:uiPriority w:val="33"/>
    <w:qFormat/>
    <w:rsid w:val="00BB24FB"/>
    <w:rPr>
      <w:b/>
      <w:bCs/>
      <w:i/>
      <w:iCs/>
      <w:spacing w:val="5"/>
    </w:rPr>
  </w:style>
  <w:style w:type="character" w:styleId="Mention">
    <w:name w:val="Mention"/>
    <w:basedOn w:val="DefaultParagraphFont"/>
    <w:uiPriority w:val="99"/>
    <w:unhideWhenUsed/>
    <w:rsid w:val="005B1BD5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D14A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51B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14A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51B9"/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4438E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4438E"/>
    <w:rPr>
      <w:color w:val="808080"/>
    </w:rPr>
  </w:style>
  <w:style w:type="paragraph" w:styleId="Revision">
    <w:name w:val="Revision"/>
    <w:hidden/>
    <w:uiPriority w:val="99"/>
    <w:semiHidden/>
    <w:rsid w:val="007707A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TableGrid1">
    <w:name w:val="Table Grid1"/>
    <w:basedOn w:val="TableNormal"/>
    <w:qFormat/>
    <w:rsid w:val="00D96DB3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mori\Nokia\5G%20Radio%20-%20RAN4%20106%20Athens\Rel-18\LTE_NBIOT_eMTC_NTN_req\Demod\SAN%20Demo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5AIRPNAIUNRU-1328258698-23250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https://nokia.sharepoint.com/sites/c5g/5gradio/_layouts/15/DocIdRedir.aspx?ID=5AIRPNAIUNRU-1328258698-23250</Url>
      <Description>5AIRPNAIUNRU-1328258698-23250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SAN Demod.dotx</Template>
  <TotalTime>199</TotalTime>
  <Pages>1</Pages>
  <Words>2047</Words>
  <Characters>11669</Characters>
  <Application>Microsoft Office Word</Application>
  <DocSecurity>4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13689</CharactersWithSpaces>
  <SharedDoc>false</SharedDoc>
  <HLinks>
    <vt:vector size="96" baseType="variant">
      <vt:variant>
        <vt:i4>7602211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https://www.3gpp.org/ftp/Meetings_3GPP_SYNC/RAN4/Docs/R4-2220278.zip</vt:lpwstr>
      </vt:variant>
      <vt:variant>
        <vt:lpwstr/>
      </vt:variant>
      <vt:variant>
        <vt:i4>7143512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https://www.3gpp.org/ftp/TSG_RAN/TSG_RAN/TSGR_95e/Docs/RP-220938.zip</vt:lpwstr>
      </vt:variant>
      <vt:variant>
        <vt:lpwstr/>
      </vt:variant>
      <vt:variant>
        <vt:i4>1769506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https://www.3gpp.org/ftp/tsg_ran/TSG_RAN/TSGR_92e/Info_for_workplan/new_approved_WID_11/RAN1_1/RP-211601.zip</vt:lpwstr>
      </vt:variant>
      <vt:variant>
        <vt:lpwstr/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_Toc134700120</vt:lpwstr>
      </vt:variant>
      <vt:variant>
        <vt:i4>1179700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_Toc134700119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_Toc134700118</vt:lpwstr>
      </vt:variant>
      <vt:variant>
        <vt:i4>1179700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_Toc134700117</vt:lpwstr>
      </vt:variant>
      <vt:variant>
        <vt:i4>1179700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_Toc134700116</vt:lpwstr>
      </vt:variant>
      <vt:variant>
        <vt:i4>1179700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_Toc134700115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_Toc134700114</vt:lpwstr>
      </vt:variant>
      <vt:variant>
        <vt:i4>1179700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_Toc134700113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_Toc134700112</vt:lpwstr>
      </vt:variant>
      <vt:variant>
        <vt:i4>1179700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_Toc134700111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_Toc134700110</vt:lpwstr>
      </vt:variant>
      <vt:variant>
        <vt:i4>1245236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_Toc134700109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_Toc134700108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80</cp:revision>
  <dcterms:created xsi:type="dcterms:W3CDTF">2023-05-03T17:16:00Z</dcterms:created>
  <dcterms:modified xsi:type="dcterms:W3CDTF">2023-05-11T20:55:00Z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MediaServiceImageTags">
    <vt:lpwstr/>
  </property>
  <property fmtid="{D5CDD505-2E9C-101B-9397-08002B2CF9AE}" pid="11" name="_dlc_DocIdItemGuid">
    <vt:lpwstr>1fdb5b8f-a78a-46c4-917e-60308df139e0</vt:lpwstr>
  </property>
</Properties>
</file>